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595B03">
        <w:rPr>
          <w:rFonts w:ascii="宋体" w:hAnsi="宋体" w:hint="eastAsia"/>
          <w:color w:val="000000"/>
          <w:sz w:val="36"/>
          <w:szCs w:val="36"/>
        </w:rPr>
        <w:t>21</w:t>
      </w:r>
      <w:r w:rsidR="00906642">
        <w:rPr>
          <w:rFonts w:ascii="宋体" w:hAnsi="宋体" w:hint="eastAsia"/>
          <w:color w:val="000000"/>
          <w:sz w:val="36"/>
          <w:szCs w:val="36"/>
        </w:rPr>
        <w:t>年</w:t>
      </w:r>
      <w:r w:rsidR="00473BF1">
        <w:rPr>
          <w:rFonts w:ascii="宋体" w:hAnsi="宋体" w:hint="eastAsia"/>
          <w:color w:val="000000"/>
          <w:sz w:val="36"/>
          <w:szCs w:val="36"/>
        </w:rPr>
        <w:t>5</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w:t>
      </w:r>
      <w:r w:rsidRPr="00365913">
        <w:rPr>
          <w:rFonts w:ascii="宋体" w:hAnsi="宋体" w:hint="eastAsia"/>
          <w:color w:val="000000"/>
          <w:kern w:val="28"/>
          <w:sz w:val="28"/>
          <w:szCs w:val="28"/>
        </w:rPr>
        <w:t>司“购置</w:t>
      </w:r>
      <w:r w:rsidR="005043EE" w:rsidRPr="00365913">
        <w:rPr>
          <w:rFonts w:ascii="宋体" w:hAnsi="宋体" w:hint="eastAsia"/>
          <w:color w:val="000000"/>
          <w:kern w:val="28"/>
          <w:sz w:val="28"/>
          <w:szCs w:val="28"/>
        </w:rPr>
        <w:t>一</w:t>
      </w:r>
      <w:r w:rsidR="00652832" w:rsidRPr="00365913">
        <w:rPr>
          <w:rFonts w:ascii="宋体" w:hAnsi="宋体" w:hint="eastAsia"/>
          <w:color w:val="000000"/>
          <w:kern w:val="28"/>
          <w:sz w:val="28"/>
          <w:szCs w:val="28"/>
        </w:rPr>
        <w:t>台无油水润滑双螺杆式空气压缩机</w:t>
      </w:r>
      <w:r w:rsidRPr="00365913">
        <w:rPr>
          <w:rFonts w:ascii="宋体" w:hAnsi="宋体" w:hint="eastAsia"/>
          <w:color w:val="000000"/>
          <w:kern w:val="28"/>
          <w:sz w:val="28"/>
          <w:szCs w:val="28"/>
        </w:rPr>
        <w:t xml:space="preserve">”项目，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3A7FC9">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365913" w:rsidRPr="00365913">
        <w:rPr>
          <w:rFonts w:ascii="宋体" w:hAnsi="宋体" w:hint="eastAsia"/>
          <w:color w:val="000000"/>
          <w:kern w:val="28"/>
          <w:sz w:val="28"/>
          <w:szCs w:val="28"/>
        </w:rPr>
        <w:t>一台无油水润滑双螺杆式空气压缩机</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w:t>
      </w:r>
      <w:r w:rsidR="00365913">
        <w:rPr>
          <w:rFonts w:hint="eastAsia"/>
          <w:sz w:val="28"/>
          <w:szCs w:val="28"/>
        </w:rPr>
        <w:t>市海珠区工业大道北</w:t>
      </w:r>
      <w:r w:rsidR="00365913">
        <w:rPr>
          <w:rFonts w:hint="eastAsia"/>
          <w:sz w:val="28"/>
          <w:szCs w:val="28"/>
        </w:rPr>
        <w:t>48</w:t>
      </w:r>
      <w:r w:rsidR="00365913">
        <w:rPr>
          <w:rFonts w:hint="eastAsia"/>
          <w:sz w:val="28"/>
          <w:szCs w:val="28"/>
        </w:rPr>
        <w:t>号广州市白云山明兴制药有限公司制造一部一楼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3A7FC9">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3A7FC9">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000073C0" w:rsidRPr="000073C0">
        <w:rPr>
          <w:rFonts w:ascii="宋体" w:hAnsi="宋体" w:hint="eastAsia"/>
          <w:sz w:val="28"/>
          <w:szCs w:val="28"/>
        </w:rPr>
        <w:t>2021</w:t>
      </w:r>
      <w:r w:rsidRPr="000073C0">
        <w:rPr>
          <w:rFonts w:ascii="宋体" w:hAnsi="宋体" w:hint="eastAsia"/>
          <w:sz w:val="28"/>
          <w:szCs w:val="28"/>
        </w:rPr>
        <w:t>年</w:t>
      </w:r>
      <w:r w:rsidR="00AB09AB">
        <w:rPr>
          <w:rFonts w:ascii="宋体" w:hAnsi="宋体" w:hint="eastAsia"/>
          <w:sz w:val="28"/>
          <w:szCs w:val="28"/>
        </w:rPr>
        <w:t>5</w:t>
      </w:r>
      <w:r w:rsidRPr="000073C0">
        <w:rPr>
          <w:rFonts w:ascii="宋体" w:hAnsi="宋体" w:hint="eastAsia"/>
          <w:sz w:val="28"/>
          <w:szCs w:val="28"/>
        </w:rPr>
        <w:t>月</w:t>
      </w:r>
      <w:r w:rsidR="00473BF1">
        <w:rPr>
          <w:rFonts w:ascii="宋体" w:hAnsi="宋体" w:hint="eastAsia"/>
          <w:sz w:val="28"/>
          <w:szCs w:val="28"/>
        </w:rPr>
        <w:t>13</w:t>
      </w:r>
      <w:r w:rsidRPr="000073C0">
        <w:rPr>
          <w:rFonts w:ascii="宋体" w:hAnsi="宋体" w:hint="eastAsia"/>
          <w:sz w:val="28"/>
          <w:szCs w:val="28"/>
        </w:rPr>
        <w:t>日</w:t>
      </w:r>
      <w:r w:rsidR="00473BF1">
        <w:rPr>
          <w:rFonts w:ascii="宋体" w:hAnsi="宋体" w:hint="eastAsia"/>
          <w:sz w:val="28"/>
          <w:szCs w:val="28"/>
        </w:rPr>
        <w:t>1</w:t>
      </w:r>
      <w:r w:rsidR="001D0A70">
        <w:rPr>
          <w:rFonts w:ascii="宋体" w:hAnsi="宋体" w:hint="eastAsia"/>
          <w:sz w:val="28"/>
          <w:szCs w:val="28"/>
        </w:rPr>
        <w:t>5</w:t>
      </w:r>
      <w:r w:rsidR="000073C0" w:rsidRPr="000073C0">
        <w:rPr>
          <w:rFonts w:ascii="宋体" w:hAnsi="宋体" w:hint="eastAsia"/>
          <w:sz w:val="28"/>
          <w:szCs w:val="28"/>
        </w:rPr>
        <w:t>:00</w:t>
      </w:r>
      <w:r w:rsidRPr="000073C0">
        <w:rPr>
          <w:rFonts w:ascii="宋体" w:hAnsi="宋体" w:hint="eastAsia"/>
          <w:sz w:val="28"/>
          <w:szCs w:val="28"/>
        </w:rPr>
        <w:t>始至</w:t>
      </w:r>
      <w:r w:rsidR="000073C0" w:rsidRPr="000073C0">
        <w:rPr>
          <w:rFonts w:ascii="宋体" w:hAnsi="宋体" w:hint="eastAsia"/>
          <w:sz w:val="28"/>
          <w:szCs w:val="28"/>
        </w:rPr>
        <w:t>2021</w:t>
      </w:r>
      <w:r w:rsidRPr="000073C0">
        <w:rPr>
          <w:rFonts w:ascii="宋体" w:hAnsi="宋体" w:hint="eastAsia"/>
          <w:sz w:val="28"/>
          <w:szCs w:val="28"/>
        </w:rPr>
        <w:t>年</w:t>
      </w:r>
      <w:r w:rsidR="00AB09AB">
        <w:rPr>
          <w:rFonts w:ascii="宋体" w:hAnsi="宋体" w:hint="eastAsia"/>
          <w:sz w:val="28"/>
          <w:szCs w:val="28"/>
        </w:rPr>
        <w:t>5</w:t>
      </w:r>
      <w:r w:rsidRPr="000073C0">
        <w:rPr>
          <w:rFonts w:ascii="宋体" w:hAnsi="宋体" w:hint="eastAsia"/>
          <w:sz w:val="28"/>
          <w:szCs w:val="28"/>
        </w:rPr>
        <w:t>月</w:t>
      </w:r>
      <w:r w:rsidR="00473BF1">
        <w:rPr>
          <w:rFonts w:ascii="宋体" w:hAnsi="宋体" w:hint="eastAsia"/>
          <w:sz w:val="28"/>
          <w:szCs w:val="28"/>
        </w:rPr>
        <w:t>20</w:t>
      </w:r>
      <w:r w:rsidRPr="000073C0">
        <w:rPr>
          <w:rFonts w:ascii="宋体" w:hAnsi="宋体" w:hint="eastAsia"/>
          <w:sz w:val="28"/>
          <w:szCs w:val="28"/>
        </w:rPr>
        <w:t>日</w:t>
      </w:r>
      <w:r w:rsidR="000073C0" w:rsidRPr="000073C0">
        <w:rPr>
          <w:rFonts w:ascii="宋体" w:hAnsi="宋体" w:hint="eastAsia"/>
          <w:sz w:val="28"/>
          <w:szCs w:val="28"/>
        </w:rPr>
        <w:t>下午15:00止</w:t>
      </w:r>
      <w:r w:rsidRPr="000073C0">
        <w:rPr>
          <w:rFonts w:ascii="宋体" w:hAnsi="宋体" w:hint="eastAsia"/>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3A7FC9">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E42CE8">
        <w:rPr>
          <w:rFonts w:ascii="宋体" w:hAnsi="宋体" w:cs="Tahoma" w:hint="eastAsia"/>
          <w:sz w:val="28"/>
          <w:szCs w:val="28"/>
        </w:rPr>
        <w:t>4</w:t>
      </w:r>
      <w:r w:rsidR="00AB09AB">
        <w:rPr>
          <w:rFonts w:ascii="宋体" w:hAnsi="宋体" w:cs="Tahoma" w:hint="eastAsia"/>
          <w:sz w:val="28"/>
          <w:szCs w:val="28"/>
        </w:rPr>
        <w:t>9</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E42CE8">
        <w:rPr>
          <w:rFonts w:ascii="宋体" w:hAnsi="宋体" w:cs="Tahoma" w:hint="eastAsia"/>
          <w:sz w:val="28"/>
          <w:szCs w:val="28"/>
        </w:rPr>
        <w:t>肆</w:t>
      </w:r>
      <w:r w:rsidR="00EF606A" w:rsidRPr="00414190">
        <w:rPr>
          <w:rFonts w:ascii="宋体" w:hAnsi="宋体" w:cs="Tahoma" w:hint="eastAsia"/>
          <w:sz w:val="28"/>
          <w:szCs w:val="28"/>
        </w:rPr>
        <w:t>拾</w:t>
      </w:r>
      <w:r w:rsidRPr="00414190">
        <w:rPr>
          <w:rFonts w:ascii="宋体" w:hAnsi="宋体" w:cs="Tahoma" w:hint="eastAsia"/>
          <w:sz w:val="28"/>
          <w:szCs w:val="28"/>
        </w:rPr>
        <w:t>万</w:t>
      </w:r>
      <w:r w:rsidR="00AB09AB">
        <w:rPr>
          <w:rFonts w:ascii="宋体" w:hAnsi="宋体" w:cs="Tahoma" w:hint="eastAsia"/>
          <w:sz w:val="28"/>
          <w:szCs w:val="28"/>
        </w:rPr>
        <w:t>玖仟</w:t>
      </w:r>
      <w:r w:rsidRPr="00414190">
        <w:rPr>
          <w:rFonts w:ascii="宋体" w:hAnsi="宋体" w:cs="Tahoma" w:hint="eastAsia"/>
          <w:sz w:val="28"/>
          <w:szCs w:val="28"/>
        </w:rPr>
        <w:t>元整）</w:t>
      </w:r>
    </w:p>
    <w:p w:rsidR="00906642" w:rsidRPr="00414190" w:rsidRDefault="001017FE" w:rsidP="003A7FC9">
      <w:pPr>
        <w:snapToGrid w:val="0"/>
        <w:spacing w:beforeLines="50" w:line="360" w:lineRule="auto"/>
        <w:rPr>
          <w:rFonts w:ascii="宋体" w:hAnsi="宋体" w:cs="Tahoma"/>
          <w:b/>
          <w:sz w:val="28"/>
          <w:szCs w:val="28"/>
        </w:rPr>
      </w:pPr>
      <w:r w:rsidRPr="00414190">
        <w:rPr>
          <w:rFonts w:ascii="宋体" w:hAnsi="宋体" w:cs="Tahoma" w:hint="eastAsia"/>
          <w:b/>
          <w:sz w:val="28"/>
          <w:szCs w:val="28"/>
        </w:rPr>
        <w:lastRenderedPageBreak/>
        <w:t>5</w:t>
      </w:r>
      <w:r w:rsidR="00906642" w:rsidRPr="00414190">
        <w:rPr>
          <w:rFonts w:ascii="宋体" w:hAnsi="宋体" w:cs="Tahoma" w:hint="eastAsia"/>
          <w:b/>
          <w:sz w:val="28"/>
          <w:szCs w:val="28"/>
        </w:rPr>
        <w:t>、投标文件的收取</w:t>
      </w:r>
    </w:p>
    <w:p w:rsidR="00906642" w:rsidRPr="00595B03" w:rsidRDefault="001017FE">
      <w:pPr>
        <w:spacing w:line="360" w:lineRule="auto"/>
        <w:jc w:val="both"/>
        <w:rPr>
          <w:rFonts w:ascii="宋体" w:hAnsi="宋体"/>
          <w:sz w:val="28"/>
          <w:szCs w:val="28"/>
        </w:rPr>
      </w:pPr>
      <w:r w:rsidRPr="00414190">
        <w:rPr>
          <w:rFonts w:ascii="宋体" w:hAnsi="宋体" w:hint="eastAsia"/>
          <w:sz w:val="28"/>
          <w:szCs w:val="28"/>
        </w:rPr>
        <w:t>5</w:t>
      </w:r>
      <w:r w:rsidR="00906642" w:rsidRPr="00414190">
        <w:rPr>
          <w:rFonts w:ascii="宋体" w:hAnsi="宋体" w:hint="eastAsia"/>
          <w:sz w:val="28"/>
          <w:szCs w:val="28"/>
        </w:rPr>
        <w:t>.1递交投标</w:t>
      </w:r>
      <w:r w:rsidR="00906642" w:rsidRPr="00595B03">
        <w:rPr>
          <w:rFonts w:ascii="宋体" w:hAnsi="宋体" w:hint="eastAsia"/>
          <w:sz w:val="28"/>
          <w:szCs w:val="28"/>
        </w:rPr>
        <w:t>文件时间为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572059">
        <w:rPr>
          <w:rFonts w:ascii="宋体" w:hAnsi="宋体" w:hint="eastAsia"/>
          <w:sz w:val="28"/>
          <w:szCs w:val="28"/>
        </w:rPr>
        <w:t>5</w:t>
      </w:r>
      <w:r w:rsidR="00906642" w:rsidRPr="00595B03">
        <w:rPr>
          <w:rFonts w:ascii="宋体" w:hAnsi="宋体" w:hint="eastAsia"/>
          <w:sz w:val="28"/>
          <w:szCs w:val="28"/>
        </w:rPr>
        <w:t>月</w:t>
      </w:r>
      <w:r w:rsidR="00473BF1">
        <w:rPr>
          <w:rFonts w:ascii="宋体" w:hAnsi="宋体" w:hint="eastAsia"/>
          <w:sz w:val="28"/>
          <w:szCs w:val="28"/>
        </w:rPr>
        <w:t>13</w:t>
      </w:r>
      <w:r w:rsidR="00414190" w:rsidRPr="00595B03">
        <w:rPr>
          <w:rFonts w:ascii="宋体" w:hAnsi="宋体" w:hint="eastAsia"/>
          <w:sz w:val="28"/>
          <w:szCs w:val="28"/>
        </w:rPr>
        <w:t>日</w:t>
      </w:r>
      <w:r w:rsidR="00473BF1">
        <w:rPr>
          <w:rFonts w:ascii="宋体" w:hAnsi="宋体" w:hint="eastAsia"/>
          <w:sz w:val="28"/>
          <w:szCs w:val="28"/>
        </w:rPr>
        <w:t>1</w:t>
      </w:r>
      <w:r w:rsidR="001D0A70">
        <w:rPr>
          <w:rFonts w:ascii="宋体" w:hAnsi="宋体" w:hint="eastAsia"/>
          <w:sz w:val="28"/>
          <w:szCs w:val="28"/>
        </w:rPr>
        <w:t>5</w:t>
      </w:r>
      <w:r w:rsidR="000073C0" w:rsidRPr="00595B03">
        <w:rPr>
          <w:rFonts w:ascii="宋体" w:hAnsi="宋体" w:hint="eastAsia"/>
          <w:sz w:val="28"/>
          <w:szCs w:val="28"/>
        </w:rPr>
        <w:t>:00</w:t>
      </w:r>
      <w:r w:rsidR="002F352A" w:rsidRPr="00595B03">
        <w:rPr>
          <w:rFonts w:ascii="宋体" w:hAnsi="宋体" w:hint="eastAsia"/>
          <w:sz w:val="28"/>
          <w:szCs w:val="28"/>
        </w:rPr>
        <w:t>（</w:t>
      </w:r>
      <w:r w:rsidR="00906642" w:rsidRPr="00595B03">
        <w:rPr>
          <w:rFonts w:ascii="宋体" w:hAnsi="宋体" w:hint="eastAsia"/>
          <w:sz w:val="28"/>
          <w:szCs w:val="28"/>
        </w:rPr>
        <w:t>北京时间）。</w:t>
      </w:r>
    </w:p>
    <w:p w:rsidR="00906642" w:rsidRPr="00595B03" w:rsidRDefault="001017FE">
      <w:pPr>
        <w:spacing w:line="360" w:lineRule="auto"/>
        <w:ind w:left="315" w:hanging="315"/>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.2投标截止时间为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572059">
        <w:rPr>
          <w:rFonts w:ascii="宋体" w:hAnsi="宋体" w:hint="eastAsia"/>
          <w:sz w:val="28"/>
          <w:szCs w:val="28"/>
        </w:rPr>
        <w:t>5</w:t>
      </w:r>
      <w:r w:rsidR="00906642" w:rsidRPr="00595B03">
        <w:rPr>
          <w:rFonts w:ascii="宋体" w:hAnsi="宋体" w:hint="eastAsia"/>
          <w:sz w:val="28"/>
          <w:szCs w:val="28"/>
        </w:rPr>
        <w:t>月</w:t>
      </w:r>
      <w:r w:rsidR="00473BF1">
        <w:rPr>
          <w:rFonts w:ascii="宋体" w:hAnsi="宋体" w:hint="eastAsia"/>
          <w:sz w:val="28"/>
          <w:szCs w:val="28"/>
        </w:rPr>
        <w:t>20</w:t>
      </w:r>
      <w:r w:rsidR="00906642" w:rsidRPr="00595B03">
        <w:rPr>
          <w:rFonts w:ascii="宋体" w:hAnsi="宋体" w:hint="eastAsia"/>
          <w:sz w:val="28"/>
          <w:szCs w:val="28"/>
        </w:rPr>
        <w:t>日</w:t>
      </w:r>
      <w:r w:rsidR="000073C0" w:rsidRPr="00595B03">
        <w:rPr>
          <w:rFonts w:ascii="宋体" w:hAnsi="宋体" w:hint="eastAsia"/>
          <w:sz w:val="28"/>
          <w:szCs w:val="28"/>
        </w:rPr>
        <w:t>15:00</w:t>
      </w:r>
      <w:r w:rsidR="00906642" w:rsidRPr="00595B03">
        <w:rPr>
          <w:rFonts w:ascii="宋体" w:hAnsi="宋体" w:hint="eastAsia"/>
          <w:sz w:val="28"/>
          <w:szCs w:val="28"/>
        </w:rPr>
        <w:t>（北京时间）。</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A21512" w:rsidRPr="00595B03">
        <w:rPr>
          <w:rFonts w:ascii="宋体" w:hAnsi="宋体" w:hint="eastAsia"/>
          <w:sz w:val="28"/>
          <w:szCs w:val="28"/>
        </w:rPr>
        <w:t>符智鹏</w:t>
      </w:r>
      <w:r w:rsidR="00C06700" w:rsidRPr="00595B03">
        <w:rPr>
          <w:rFonts w:ascii="宋体" w:hAnsi="宋体" w:hint="eastAsia"/>
          <w:sz w:val="28"/>
          <w:szCs w:val="28"/>
        </w:rPr>
        <w:t xml:space="preserve"> </w:t>
      </w:r>
      <w:r w:rsidR="00906642" w:rsidRPr="00595B03">
        <w:rPr>
          <w:rFonts w:ascii="宋体" w:hAnsi="宋体" w:hint="eastAsia"/>
          <w:sz w:val="28"/>
          <w:szCs w:val="28"/>
        </w:rPr>
        <w:t>020－</w:t>
      </w:r>
      <w:r w:rsidR="00473BF1">
        <w:rPr>
          <w:rFonts w:ascii="宋体" w:hAnsi="宋体" w:hint="eastAsia"/>
          <w:sz w:val="28"/>
          <w:szCs w:val="28"/>
        </w:rPr>
        <w:t>84263301</w:t>
      </w:r>
    </w:p>
    <w:p w:rsidR="00906642" w:rsidRPr="00595B03" w:rsidRDefault="001017FE" w:rsidP="003A7FC9">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3A7FC9">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3A7FC9">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0073C0" w:rsidRPr="00595B03">
        <w:rPr>
          <w:rFonts w:ascii="宋体" w:hAnsi="宋体" w:cs="Tahoma" w:hint="eastAsia"/>
          <w:kern w:val="28"/>
          <w:sz w:val="28"/>
          <w:szCs w:val="28"/>
        </w:rPr>
        <w:t>2021</w:t>
      </w:r>
      <w:r w:rsidR="00906642" w:rsidRPr="00595B03">
        <w:rPr>
          <w:rFonts w:ascii="宋体" w:hAnsi="宋体" w:cs="Tahoma" w:hint="eastAsia"/>
          <w:kern w:val="28"/>
          <w:sz w:val="28"/>
          <w:szCs w:val="28"/>
        </w:rPr>
        <w:t>年</w:t>
      </w:r>
      <w:r w:rsidR="00572059">
        <w:rPr>
          <w:rFonts w:ascii="宋体" w:hAnsi="宋体" w:cs="Tahoma" w:hint="eastAsia"/>
          <w:kern w:val="28"/>
          <w:sz w:val="28"/>
          <w:szCs w:val="28"/>
        </w:rPr>
        <w:t>5</w:t>
      </w:r>
      <w:r w:rsidR="00906642" w:rsidRPr="00595B03">
        <w:rPr>
          <w:rFonts w:ascii="宋体" w:hAnsi="宋体" w:cs="Tahoma" w:hint="eastAsia"/>
          <w:kern w:val="28"/>
          <w:sz w:val="28"/>
          <w:szCs w:val="28"/>
        </w:rPr>
        <w:t>月</w:t>
      </w:r>
      <w:r w:rsidR="009766B5">
        <w:rPr>
          <w:rFonts w:ascii="宋体" w:hAnsi="宋体" w:cs="Tahoma" w:hint="eastAsia"/>
          <w:kern w:val="28"/>
          <w:sz w:val="28"/>
          <w:szCs w:val="28"/>
        </w:rPr>
        <w:t>21</w:t>
      </w:r>
      <w:r w:rsidR="00906642" w:rsidRPr="00595B03">
        <w:rPr>
          <w:rFonts w:ascii="宋体" w:hAnsi="宋体" w:cs="Tahoma" w:hint="eastAsia"/>
          <w:kern w:val="28"/>
          <w:sz w:val="28"/>
          <w:szCs w:val="28"/>
        </w:rPr>
        <w:t>日</w:t>
      </w:r>
      <w:r w:rsidR="000073C0" w:rsidRPr="00595B03">
        <w:rPr>
          <w:rFonts w:ascii="宋体" w:hAnsi="宋体" w:cs="Tahoma" w:hint="eastAsia"/>
          <w:kern w:val="28"/>
          <w:sz w:val="28"/>
          <w:szCs w:val="28"/>
        </w:rPr>
        <w:t>10:00</w:t>
      </w:r>
      <w:r w:rsidR="00906642" w:rsidRPr="00595B03">
        <w:rPr>
          <w:rFonts w:ascii="宋体" w:hAnsi="宋体" w:cs="Tahoma" w:hint="eastAsia"/>
          <w:kern w:val="28"/>
          <w:sz w:val="28"/>
          <w:szCs w:val="28"/>
        </w:rPr>
        <w:t>（北京时间）</w:t>
      </w:r>
    </w:p>
    <w:p w:rsidR="00906642" w:rsidRDefault="001017FE" w:rsidP="003A7FC9">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r w:rsidR="00572059">
        <w:rPr>
          <w:rFonts w:ascii="宋体" w:hAnsi="宋体" w:hint="eastAsia"/>
          <w:sz w:val="28"/>
          <w:szCs w:val="28"/>
        </w:rPr>
        <w:t>制造一部一楼</w:t>
      </w:r>
    </w:p>
    <w:p w:rsidR="00906642" w:rsidRDefault="001017FE" w:rsidP="003A7FC9">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w:t>
      </w:r>
      <w:r w:rsidR="00DA6ECA" w:rsidRPr="00595B03">
        <w:rPr>
          <w:rFonts w:ascii="宋体" w:hAnsi="宋体" w:hint="eastAsia"/>
          <w:sz w:val="28"/>
          <w:szCs w:val="28"/>
        </w:rPr>
        <w:t>020－</w:t>
      </w:r>
      <w:r w:rsidR="00DA6ECA">
        <w:rPr>
          <w:rFonts w:ascii="宋体" w:hAnsi="宋体" w:hint="eastAsia"/>
          <w:sz w:val="28"/>
          <w:szCs w:val="28"/>
        </w:rPr>
        <w:t>84263301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w:t>
      </w:r>
      <w:r w:rsidR="00DA6ECA" w:rsidRPr="00595B03">
        <w:rPr>
          <w:rFonts w:ascii="宋体" w:hAnsi="宋体" w:hint="eastAsia"/>
          <w:sz w:val="28"/>
          <w:szCs w:val="28"/>
        </w:rPr>
        <w:t>020－</w:t>
      </w:r>
      <w:r w:rsidR="00DA6ECA">
        <w:rPr>
          <w:rFonts w:ascii="宋体" w:hAnsi="宋体" w:hint="eastAsia"/>
          <w:sz w:val="28"/>
          <w:szCs w:val="28"/>
        </w:rPr>
        <w:t>84263301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A21512">
        <w:rPr>
          <w:rFonts w:ascii="宋体" w:hAnsi="宋体" w:hint="eastAsia"/>
          <w:sz w:val="28"/>
          <w:szCs w:val="28"/>
        </w:rPr>
        <w:t>符智鹏</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lastRenderedPageBreak/>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4D5120">
        <w:rPr>
          <w:rFonts w:hint="eastAsia"/>
          <w:szCs w:val="22"/>
        </w:rPr>
        <w:t>30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4D5120">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4D5120">
            <w:pPr>
              <w:spacing w:line="360" w:lineRule="auto"/>
              <w:jc w:val="center"/>
              <w:rPr>
                <w:rFonts w:ascii="宋体" w:hAnsi="宋体"/>
                <w:b/>
              </w:rPr>
            </w:pPr>
            <w:r>
              <w:rPr>
                <w:rFonts w:ascii="宋体" w:hAnsi="宋体" w:hint="eastAsia"/>
                <w:b/>
              </w:rPr>
              <w:t>70</w:t>
            </w:r>
            <w:r w:rsidR="00906642">
              <w:rPr>
                <w:rFonts w:ascii="宋体" w:hAnsi="宋体" w:hint="eastAsia"/>
                <w:b/>
              </w:rPr>
              <w:t>%</w:t>
            </w:r>
          </w:p>
        </w:tc>
        <w:tc>
          <w:tcPr>
            <w:tcW w:w="2168" w:type="dxa"/>
            <w:vAlign w:val="center"/>
          </w:tcPr>
          <w:p w:rsidR="00906642" w:rsidRDefault="004D5120">
            <w:pPr>
              <w:spacing w:line="360" w:lineRule="auto"/>
              <w:jc w:val="center"/>
              <w:rPr>
                <w:rFonts w:ascii="宋体" w:hAnsi="宋体"/>
                <w:b/>
              </w:rPr>
            </w:pPr>
            <w:r>
              <w:rPr>
                <w:rFonts w:ascii="宋体" w:hAnsi="宋体" w:hint="eastAsia"/>
                <w:b/>
              </w:rPr>
              <w:t>30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3A7FC9">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3A7FC9">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2860"/>
        <w:gridCol w:w="2835"/>
        <w:gridCol w:w="2810"/>
      </w:tblGrid>
      <w:tr w:rsidR="00906642">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3E668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86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3E668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3E668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3E668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trPr>
          <w:trHeight w:val="1900"/>
        </w:trPr>
        <w:tc>
          <w:tcPr>
            <w:tcW w:w="1374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3A7FC9">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3A7FC9">
      <w:pPr>
        <w:spacing w:afterLines="100"/>
        <w:rPr>
          <w:rFonts w:ascii="宋体" w:hAnsi="宋体"/>
          <w:b/>
          <w:color w:val="000000"/>
        </w:rPr>
      </w:pPr>
      <w:r>
        <w:rPr>
          <w:rFonts w:ascii="宋体" w:hAnsi="宋体" w:hint="eastAsia"/>
          <w:b/>
          <w:color w:val="000000"/>
        </w:rPr>
        <w:lastRenderedPageBreak/>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8780" w:type="dxa"/>
        <w:tblInd w:w="93" w:type="dxa"/>
        <w:tblLayout w:type="fixed"/>
        <w:tblLook w:val="0000"/>
      </w:tblPr>
      <w:tblGrid>
        <w:gridCol w:w="820"/>
        <w:gridCol w:w="1600"/>
        <w:gridCol w:w="700"/>
        <w:gridCol w:w="5660"/>
      </w:tblGrid>
      <w:tr w:rsidR="00906642" w:rsidTr="00261F2D">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114197" w:rsidTr="00261F2D">
        <w:trPr>
          <w:trHeight w:val="700"/>
        </w:trPr>
        <w:tc>
          <w:tcPr>
            <w:tcW w:w="820" w:type="dxa"/>
            <w:vMerge w:val="restart"/>
            <w:tcBorders>
              <w:top w:val="nil"/>
              <w:left w:val="single" w:sz="8" w:space="0" w:color="auto"/>
              <w:right w:val="single" w:sz="4" w:space="0" w:color="auto"/>
            </w:tcBorders>
            <w:vAlign w:val="center"/>
          </w:tcPr>
          <w:p w:rsidR="00114197" w:rsidRPr="00414190" w:rsidRDefault="00114197">
            <w:pPr>
              <w:ind w:firstLine="265"/>
              <w:rPr>
                <w:rFonts w:ascii="宋体" w:hAnsi="宋体" w:cs="宋体"/>
                <w:sz w:val="24"/>
                <w:szCs w:val="24"/>
              </w:rPr>
            </w:pPr>
            <w:r w:rsidRPr="00414190">
              <w:rPr>
                <w:rFonts w:ascii="宋体" w:hAnsi="宋体" w:cs="宋体" w:hint="eastAsia"/>
                <w:sz w:val="24"/>
                <w:szCs w:val="24"/>
              </w:rPr>
              <w:t>技</w:t>
            </w:r>
          </w:p>
          <w:p w:rsidR="00114197" w:rsidRPr="00414190" w:rsidRDefault="00114197">
            <w:pPr>
              <w:ind w:firstLine="265"/>
              <w:rPr>
                <w:rFonts w:ascii="宋体" w:hAnsi="宋体" w:cs="宋体"/>
                <w:sz w:val="24"/>
                <w:szCs w:val="24"/>
              </w:rPr>
            </w:pPr>
            <w:r w:rsidRPr="00414190">
              <w:rPr>
                <w:rFonts w:ascii="宋体" w:hAnsi="宋体" w:cs="宋体" w:hint="eastAsia"/>
                <w:sz w:val="24"/>
                <w:szCs w:val="24"/>
              </w:rPr>
              <w:t>术</w:t>
            </w:r>
          </w:p>
          <w:p w:rsidR="00114197" w:rsidRPr="00414190" w:rsidRDefault="00114197">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114197" w:rsidRPr="00414190" w:rsidRDefault="00114197">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114197" w:rsidRPr="00414190" w:rsidRDefault="00DA6ECA">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114197" w:rsidRPr="001D55C9" w:rsidRDefault="00114197" w:rsidP="00740994">
            <w:pPr>
              <w:rPr>
                <w:rFonts w:ascii="宋体" w:hAnsi="宋体" w:cs="宋体"/>
                <w:szCs w:val="21"/>
              </w:rPr>
            </w:pPr>
            <w:r w:rsidRPr="001D55C9">
              <w:rPr>
                <w:rFonts w:ascii="宋体" w:hint="eastAsia"/>
                <w:color w:val="000000"/>
                <w:szCs w:val="21"/>
              </w:rPr>
              <w:t>1. 单台空气压缩机流量</w:t>
            </w:r>
            <w:r w:rsidRPr="001D55C9">
              <w:rPr>
                <w:rFonts w:ascii="宋体" w:hAnsi="宋体" w:hint="eastAsia"/>
                <w:color w:val="000000"/>
                <w:szCs w:val="21"/>
              </w:rPr>
              <w:t>≥</w:t>
            </w:r>
            <w:r w:rsidRPr="001D55C9">
              <w:rPr>
                <w:rFonts w:ascii="宋体" w:hint="eastAsia"/>
                <w:color w:val="000000"/>
                <w:szCs w:val="21"/>
              </w:rPr>
              <w:t>13</w:t>
            </w:r>
            <w:r w:rsidRPr="001D55C9">
              <w:rPr>
                <w:rFonts w:ascii="宋体" w:hint="eastAsia"/>
                <w:szCs w:val="21"/>
              </w:rPr>
              <w:t>Nm</w:t>
            </w:r>
            <w:r w:rsidRPr="001D55C9">
              <w:rPr>
                <w:rFonts w:ascii="宋体" w:hint="eastAsia"/>
                <w:color w:val="000000"/>
                <w:szCs w:val="21"/>
              </w:rPr>
              <w:t>³/min，工作压力</w:t>
            </w:r>
            <w:r w:rsidRPr="001D55C9">
              <w:rPr>
                <w:rFonts w:ascii="宋体" w:hAnsi="宋体" w:hint="eastAsia"/>
                <w:color w:val="000000"/>
                <w:szCs w:val="21"/>
              </w:rPr>
              <w:t>≥0.</w:t>
            </w:r>
            <w:r w:rsidRPr="001D55C9">
              <w:rPr>
                <w:rFonts w:ascii="宋体" w:hAnsi="宋体"/>
                <w:color w:val="000000"/>
                <w:szCs w:val="21"/>
              </w:rPr>
              <w:t>7</w:t>
            </w:r>
            <w:r w:rsidRPr="001D55C9">
              <w:rPr>
                <w:rFonts w:ascii="宋体" w:hAnsi="宋体" w:hint="eastAsia"/>
                <w:color w:val="000000"/>
                <w:szCs w:val="21"/>
              </w:rPr>
              <w:t xml:space="preserve">MPa </w:t>
            </w:r>
            <w:r w:rsidRPr="001D55C9">
              <w:rPr>
                <w:rFonts w:ascii="宋体" w:hAnsi="宋体" w:cs="宋体" w:hint="eastAsia"/>
                <w:szCs w:val="21"/>
              </w:rPr>
              <w:t>满足得</w:t>
            </w:r>
            <w:r w:rsidR="00740994">
              <w:rPr>
                <w:rFonts w:ascii="宋体" w:hAnsi="宋体" w:cs="宋体" w:hint="eastAsia"/>
                <w:szCs w:val="21"/>
              </w:rPr>
              <w:t>10</w:t>
            </w:r>
            <w:r w:rsidRPr="001D55C9">
              <w:rPr>
                <w:rFonts w:ascii="宋体" w:hAnsi="宋体" w:cs="宋体" w:hint="eastAsia"/>
                <w:szCs w:val="21"/>
              </w:rPr>
              <w:t>分，不满足得0分。</w:t>
            </w:r>
          </w:p>
        </w:tc>
      </w:tr>
      <w:tr w:rsidR="00114197" w:rsidTr="00261F2D">
        <w:trPr>
          <w:trHeight w:val="1000"/>
        </w:trPr>
        <w:tc>
          <w:tcPr>
            <w:tcW w:w="820" w:type="dxa"/>
            <w:vMerge/>
            <w:tcBorders>
              <w:left w:val="single" w:sz="8" w:space="0" w:color="auto"/>
              <w:right w:val="single" w:sz="4" w:space="0" w:color="auto"/>
            </w:tcBorders>
            <w:vAlign w:val="center"/>
          </w:tcPr>
          <w:p w:rsidR="00114197" w:rsidRPr="00414190" w:rsidRDefault="00114197">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114197" w:rsidRPr="00414190" w:rsidRDefault="00114197">
            <w:pPr>
              <w:jc w:val="center"/>
              <w:rPr>
                <w:rFonts w:ascii="宋体" w:hAnsi="宋体" w:cs="宋体"/>
                <w:szCs w:val="21"/>
              </w:rPr>
            </w:pPr>
            <w:r w:rsidRPr="00414190">
              <w:rPr>
                <w:rFonts w:ascii="宋体" w:hAnsi="宋体" w:cs="宋体" w:hint="eastAsia"/>
                <w:szCs w:val="21"/>
              </w:rPr>
              <w:t>设备技术要求</w:t>
            </w:r>
          </w:p>
        </w:tc>
        <w:tc>
          <w:tcPr>
            <w:tcW w:w="700" w:type="dxa"/>
            <w:tcBorders>
              <w:top w:val="nil"/>
              <w:left w:val="nil"/>
              <w:bottom w:val="single" w:sz="4" w:space="0" w:color="auto"/>
              <w:right w:val="single" w:sz="4" w:space="0" w:color="auto"/>
            </w:tcBorders>
            <w:vAlign w:val="center"/>
          </w:tcPr>
          <w:p w:rsidR="00114197" w:rsidRPr="00414190" w:rsidRDefault="00DA6ECA" w:rsidP="00DA6ECA">
            <w:pPr>
              <w:jc w:val="center"/>
              <w:rPr>
                <w:rFonts w:ascii="宋体" w:hAnsi="宋体" w:cs="宋体"/>
                <w:szCs w:val="21"/>
              </w:rPr>
            </w:pPr>
            <w:r>
              <w:rPr>
                <w:rFonts w:ascii="宋体" w:hAnsi="宋体" w:cs="宋体" w:hint="eastAsia"/>
                <w:szCs w:val="21"/>
              </w:rPr>
              <w:t>20</w:t>
            </w:r>
          </w:p>
        </w:tc>
        <w:tc>
          <w:tcPr>
            <w:tcW w:w="5660" w:type="dxa"/>
            <w:tcBorders>
              <w:top w:val="nil"/>
              <w:left w:val="nil"/>
              <w:bottom w:val="single" w:sz="4" w:space="0" w:color="auto"/>
              <w:right w:val="single" w:sz="4" w:space="0" w:color="auto"/>
            </w:tcBorders>
            <w:vAlign w:val="center"/>
          </w:tcPr>
          <w:p w:rsidR="00114197" w:rsidRPr="001D55C9" w:rsidRDefault="00114197" w:rsidP="003A7FC9">
            <w:pPr>
              <w:pStyle w:val="a8"/>
              <w:rPr>
                <w:sz w:val="21"/>
                <w:szCs w:val="21"/>
              </w:rPr>
            </w:pPr>
            <w:r>
              <w:rPr>
                <w:rFonts w:hint="eastAsia"/>
                <w:color w:val="000000"/>
                <w:sz w:val="21"/>
                <w:szCs w:val="21"/>
              </w:rPr>
              <w:t>1.</w:t>
            </w:r>
            <w:r w:rsidRPr="001D55C9">
              <w:rPr>
                <w:color w:val="000000"/>
                <w:sz w:val="21"/>
                <w:szCs w:val="21"/>
              </w:rPr>
              <w:t>压缩</w:t>
            </w:r>
            <w:r w:rsidRPr="001D55C9">
              <w:rPr>
                <w:rFonts w:hint="eastAsia"/>
                <w:color w:val="000000"/>
                <w:sz w:val="21"/>
                <w:szCs w:val="21"/>
              </w:rPr>
              <w:t>主</w:t>
            </w:r>
            <w:r w:rsidRPr="001D55C9">
              <w:rPr>
                <w:color w:val="000000"/>
                <w:sz w:val="21"/>
                <w:szCs w:val="21"/>
              </w:rPr>
              <w:t>机</w:t>
            </w:r>
            <w:r w:rsidRPr="001D55C9">
              <w:rPr>
                <w:rFonts w:hint="eastAsia"/>
                <w:color w:val="000000"/>
                <w:sz w:val="21"/>
                <w:szCs w:val="21"/>
              </w:rPr>
              <w:t>采用无油转子</w:t>
            </w:r>
            <w:r w:rsidRPr="001D55C9">
              <w:rPr>
                <w:color w:val="000000"/>
                <w:sz w:val="21"/>
                <w:szCs w:val="21"/>
              </w:rPr>
              <w:t>，</w:t>
            </w:r>
            <w:r w:rsidRPr="001D55C9">
              <w:rPr>
                <w:rFonts w:hint="eastAsia"/>
                <w:color w:val="000000"/>
                <w:sz w:val="21"/>
                <w:szCs w:val="21"/>
              </w:rPr>
              <w:t>压缩室内实现100%无油</w:t>
            </w:r>
            <w:r>
              <w:rPr>
                <w:rFonts w:hint="eastAsia"/>
                <w:color w:val="000000"/>
                <w:sz w:val="21"/>
                <w:szCs w:val="21"/>
              </w:rPr>
              <w:t>；2.</w:t>
            </w:r>
            <w:r w:rsidRPr="001D55C9">
              <w:rPr>
                <w:color w:val="000000"/>
                <w:sz w:val="21"/>
                <w:szCs w:val="21"/>
              </w:rPr>
              <w:t>系统的轴封必须要求安全可靠，保证压缩空气 100% 无油</w:t>
            </w:r>
            <w:r w:rsidRPr="001D55C9">
              <w:rPr>
                <w:rFonts w:hint="eastAsia"/>
                <w:color w:val="000000"/>
                <w:sz w:val="21"/>
                <w:szCs w:val="21"/>
              </w:rPr>
              <w:t>，无需预润滑，</w:t>
            </w:r>
            <w:r w:rsidRPr="001D55C9">
              <w:rPr>
                <w:color w:val="000000"/>
                <w:sz w:val="21"/>
                <w:szCs w:val="21"/>
              </w:rPr>
              <w:t>压缩机高速转子轴承应采用运转平稳、</w:t>
            </w:r>
            <w:r w:rsidRPr="001D55C9">
              <w:rPr>
                <w:rFonts w:hint="eastAsia"/>
                <w:color w:val="000000"/>
                <w:sz w:val="21"/>
                <w:szCs w:val="21"/>
              </w:rPr>
              <w:t>负载情况下运行平稳</w:t>
            </w:r>
            <w:r>
              <w:rPr>
                <w:rFonts w:hint="eastAsia"/>
                <w:color w:val="000000"/>
                <w:sz w:val="21"/>
                <w:szCs w:val="21"/>
              </w:rPr>
              <w:t>；</w:t>
            </w:r>
            <w:r w:rsidRPr="005D21AA">
              <w:rPr>
                <w:rFonts w:hint="eastAsia"/>
                <w:color w:val="000000"/>
                <w:sz w:val="21"/>
                <w:szCs w:val="21"/>
              </w:rPr>
              <w:t>3.</w:t>
            </w:r>
            <w:r w:rsidRPr="005D21AA">
              <w:rPr>
                <w:rFonts w:hint="eastAsia"/>
                <w:sz w:val="21"/>
                <w:szCs w:val="21"/>
              </w:rPr>
              <w:t xml:space="preserve"> 生产时间：年生产日300天；每天运行时间不低于8h，主机可连续24小时运行</w:t>
            </w:r>
            <w:r>
              <w:rPr>
                <w:rFonts w:hint="eastAsia"/>
                <w:sz w:val="21"/>
                <w:szCs w:val="21"/>
              </w:rPr>
              <w:t>；5.</w:t>
            </w:r>
            <w:r w:rsidRPr="001D55C9">
              <w:rPr>
                <w:rFonts w:hint="eastAsia"/>
                <w:sz w:val="21"/>
                <w:szCs w:val="21"/>
              </w:rPr>
              <w:t>在出现电源偏离（电压降低/峰值）±10%能保持压缩机的性能</w:t>
            </w:r>
            <w:r>
              <w:rPr>
                <w:rFonts w:hint="eastAsia"/>
                <w:sz w:val="21"/>
                <w:szCs w:val="21"/>
              </w:rPr>
              <w:t>；6</w:t>
            </w:r>
            <w:r w:rsidRPr="005D21AA">
              <w:rPr>
                <w:rFonts w:hint="eastAsia"/>
                <w:sz w:val="21"/>
                <w:szCs w:val="21"/>
              </w:rPr>
              <w:t>.</w:t>
            </w:r>
            <w:r w:rsidRPr="005D21AA">
              <w:rPr>
                <w:rFonts w:hint="eastAsia"/>
                <w:color w:val="000000"/>
                <w:sz w:val="21"/>
                <w:szCs w:val="21"/>
              </w:rPr>
              <w:t xml:space="preserve"> 距离设备1米外的工作噪音：≤70dB；</w:t>
            </w:r>
            <w:r w:rsidRPr="005D21AA">
              <w:rPr>
                <w:rFonts w:hint="eastAsia"/>
                <w:sz w:val="21"/>
                <w:szCs w:val="21"/>
              </w:rPr>
              <w:t>，综合对比评价</w:t>
            </w:r>
            <w:r w:rsidRPr="001D55C9">
              <w:rPr>
                <w:rFonts w:hint="eastAsia"/>
                <w:sz w:val="21"/>
                <w:szCs w:val="21"/>
              </w:rPr>
              <w:t>优为 ：</w:t>
            </w:r>
            <w:r w:rsidR="00740994">
              <w:rPr>
                <w:rFonts w:hint="eastAsia"/>
                <w:sz w:val="21"/>
                <w:szCs w:val="21"/>
              </w:rPr>
              <w:t>16</w:t>
            </w:r>
            <w:r w:rsidRPr="001D55C9">
              <w:rPr>
                <w:rFonts w:hint="eastAsia"/>
                <w:sz w:val="21"/>
                <w:szCs w:val="21"/>
              </w:rPr>
              <w:t>-</w:t>
            </w:r>
            <w:r w:rsidR="00740994">
              <w:rPr>
                <w:rFonts w:hint="eastAsia"/>
                <w:sz w:val="21"/>
                <w:szCs w:val="21"/>
              </w:rPr>
              <w:t>20</w:t>
            </w:r>
            <w:r w:rsidRPr="001D55C9">
              <w:rPr>
                <w:rFonts w:hint="eastAsia"/>
                <w:sz w:val="21"/>
                <w:szCs w:val="21"/>
              </w:rPr>
              <w:t>分，良为：</w:t>
            </w:r>
            <w:r w:rsidR="00740994">
              <w:rPr>
                <w:rFonts w:hint="eastAsia"/>
                <w:sz w:val="21"/>
                <w:szCs w:val="21"/>
              </w:rPr>
              <w:t>11</w:t>
            </w:r>
            <w:r w:rsidRPr="001D55C9">
              <w:rPr>
                <w:rFonts w:hint="eastAsia"/>
                <w:sz w:val="21"/>
                <w:szCs w:val="21"/>
              </w:rPr>
              <w:t>-</w:t>
            </w:r>
            <w:r w:rsidR="00740994">
              <w:rPr>
                <w:rFonts w:hint="eastAsia"/>
                <w:sz w:val="21"/>
                <w:szCs w:val="21"/>
              </w:rPr>
              <w:t>15</w:t>
            </w:r>
            <w:r w:rsidRPr="001D55C9">
              <w:rPr>
                <w:rFonts w:hint="eastAsia"/>
                <w:sz w:val="21"/>
                <w:szCs w:val="21"/>
              </w:rPr>
              <w:t>分，一般为</w:t>
            </w:r>
            <w:r w:rsidR="003A7FC9">
              <w:rPr>
                <w:rFonts w:hint="eastAsia"/>
                <w:sz w:val="21"/>
                <w:szCs w:val="21"/>
              </w:rPr>
              <w:t>1</w:t>
            </w:r>
            <w:r w:rsidRPr="001D55C9">
              <w:rPr>
                <w:rFonts w:hint="eastAsia"/>
                <w:sz w:val="21"/>
                <w:szCs w:val="21"/>
              </w:rPr>
              <w:t>-</w:t>
            </w:r>
            <w:r w:rsidR="00740994">
              <w:rPr>
                <w:rFonts w:hint="eastAsia"/>
                <w:sz w:val="21"/>
                <w:szCs w:val="21"/>
              </w:rPr>
              <w:t>10</w:t>
            </w:r>
            <w:r w:rsidRPr="001D55C9">
              <w:rPr>
                <w:rFonts w:hint="eastAsia"/>
                <w:sz w:val="21"/>
                <w:szCs w:val="21"/>
              </w:rPr>
              <w:t>分。</w:t>
            </w:r>
          </w:p>
        </w:tc>
      </w:tr>
      <w:tr w:rsidR="00906642" w:rsidTr="00261F2D">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740994">
            <w:pPr>
              <w:jc w:val="center"/>
              <w:rPr>
                <w:rFonts w:ascii="宋体" w:hAnsi="宋体" w:cs="宋体"/>
                <w:szCs w:val="21"/>
              </w:rPr>
            </w:pPr>
            <w:r>
              <w:rPr>
                <w:rFonts w:ascii="宋体" w:hAnsi="宋体" w:cs="宋体" w:hint="eastAsia"/>
                <w:szCs w:val="21"/>
              </w:rPr>
              <w:t>15</w:t>
            </w:r>
          </w:p>
        </w:tc>
        <w:tc>
          <w:tcPr>
            <w:tcW w:w="5660" w:type="dxa"/>
            <w:tcBorders>
              <w:top w:val="nil"/>
              <w:left w:val="nil"/>
              <w:bottom w:val="single" w:sz="4" w:space="0" w:color="auto"/>
              <w:right w:val="single" w:sz="4" w:space="0" w:color="auto"/>
            </w:tcBorders>
            <w:vAlign w:val="center"/>
          </w:tcPr>
          <w:p w:rsidR="00906642" w:rsidRPr="00414190" w:rsidRDefault="00906642" w:rsidP="00B6430B">
            <w:pPr>
              <w:rPr>
                <w:rFonts w:ascii="宋体" w:hAnsi="宋体" w:cs="宋体"/>
                <w:szCs w:val="21"/>
              </w:rPr>
            </w:pPr>
            <w:r w:rsidRPr="00414190">
              <w:rPr>
                <w:rFonts w:ascii="宋体" w:hAnsi="宋体" w:cs="宋体" w:hint="eastAsia"/>
                <w:szCs w:val="21"/>
              </w:rPr>
              <w:t>其他用户需求响应内容全面，具体，准确，综合对比评价优为 ：</w:t>
            </w:r>
            <w:r w:rsidR="00B6430B">
              <w:rPr>
                <w:rFonts w:ascii="宋体" w:hAnsi="宋体" w:cs="宋体" w:hint="eastAsia"/>
                <w:szCs w:val="21"/>
              </w:rPr>
              <w:t>11-15</w:t>
            </w:r>
            <w:r w:rsidRPr="00414190">
              <w:rPr>
                <w:rFonts w:ascii="宋体" w:hAnsi="宋体" w:cs="宋体" w:hint="eastAsia"/>
                <w:szCs w:val="21"/>
              </w:rPr>
              <w:t>分。文件基本完整，用户需求响应内容基本齐全，综合对比评价良为：</w:t>
            </w:r>
            <w:r w:rsidR="00B6430B">
              <w:rPr>
                <w:rFonts w:ascii="宋体" w:hAnsi="宋体" w:cs="宋体" w:hint="eastAsia"/>
                <w:szCs w:val="21"/>
              </w:rPr>
              <w:t>6</w:t>
            </w:r>
            <w:r w:rsidR="008A14AB" w:rsidRPr="00414190">
              <w:rPr>
                <w:rFonts w:ascii="宋体" w:hAnsi="宋体" w:cs="宋体" w:hint="eastAsia"/>
                <w:szCs w:val="21"/>
              </w:rPr>
              <w:t>-</w:t>
            </w:r>
            <w:r w:rsidR="00B6430B">
              <w:rPr>
                <w:rFonts w:ascii="宋体" w:hAnsi="宋体" w:cs="宋体" w:hint="eastAsia"/>
                <w:szCs w:val="21"/>
              </w:rPr>
              <w:t>10</w:t>
            </w:r>
            <w:r w:rsidRPr="00414190">
              <w:rPr>
                <w:rFonts w:ascii="宋体" w:hAnsi="宋体" w:cs="宋体" w:hint="eastAsia"/>
                <w:szCs w:val="21"/>
              </w:rPr>
              <w:t>分。文件有缺陷，用户需求响应内容不具体，综合对比评价一般为：1-</w:t>
            </w:r>
            <w:r w:rsidR="00B6430B">
              <w:rPr>
                <w:rFonts w:ascii="宋体" w:hAnsi="宋体" w:cs="宋体" w:hint="eastAsia"/>
                <w:szCs w:val="21"/>
              </w:rPr>
              <w:t>5</w:t>
            </w:r>
            <w:r w:rsidRPr="00414190">
              <w:rPr>
                <w:rFonts w:ascii="宋体" w:hAnsi="宋体" w:cs="宋体" w:hint="eastAsia"/>
                <w:szCs w:val="21"/>
              </w:rPr>
              <w:t>分。</w:t>
            </w:r>
          </w:p>
        </w:tc>
      </w:tr>
      <w:tr w:rsidR="00906642" w:rsidTr="00261F2D">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740994">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4637B0" w:rsidRDefault="00F1567A" w:rsidP="00B6430B">
            <w:pPr>
              <w:rPr>
                <w:rFonts w:ascii="宋体" w:hAnsi="宋体" w:cs="宋体"/>
                <w:szCs w:val="21"/>
              </w:rPr>
            </w:pPr>
            <w:r w:rsidRPr="006A2B17">
              <w:rPr>
                <w:rFonts w:ascii="宋体" w:hAnsi="宋体" w:cs="宋体" w:hint="eastAsia"/>
                <w:szCs w:val="21"/>
              </w:rPr>
              <w:t>提供设备和辅机安装平面布置图，标明尺寸，满足我司场地安装要求，利于人员操作和使用。</w:t>
            </w:r>
            <w:r w:rsidR="008A14AB" w:rsidRPr="004637B0">
              <w:rPr>
                <w:rFonts w:ascii="宋体" w:hAnsi="宋体" w:cs="宋体" w:hint="eastAsia"/>
                <w:szCs w:val="21"/>
              </w:rPr>
              <w:t>满足得</w:t>
            </w:r>
            <w:r w:rsidR="00B6430B">
              <w:rPr>
                <w:rFonts w:ascii="宋体" w:hAnsi="宋体" w:cs="宋体" w:hint="eastAsia"/>
                <w:szCs w:val="21"/>
              </w:rPr>
              <w:t>5</w:t>
            </w:r>
            <w:r w:rsidR="008A14AB" w:rsidRPr="004637B0">
              <w:rPr>
                <w:rFonts w:ascii="宋体" w:hAnsi="宋体" w:cs="宋体" w:hint="eastAsia"/>
                <w:szCs w:val="21"/>
              </w:rPr>
              <w:t>分，不满足得0分</w:t>
            </w:r>
            <w:r w:rsidR="00177EDA">
              <w:rPr>
                <w:rFonts w:ascii="宋体" w:hAnsi="宋体" w:cs="宋体" w:hint="eastAsia"/>
                <w:szCs w:val="21"/>
              </w:rPr>
              <w:t>。</w:t>
            </w:r>
          </w:p>
        </w:tc>
      </w:tr>
      <w:tr w:rsidR="00906642" w:rsidTr="00261F2D">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DA6ECA">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414190" w:rsidRDefault="00906642" w:rsidP="00B6430B">
            <w:pPr>
              <w:rPr>
                <w:rFonts w:ascii="宋体" w:hAnsi="宋体" w:cs="宋体"/>
                <w:szCs w:val="21"/>
              </w:rPr>
            </w:pPr>
            <w:r w:rsidRPr="00414190">
              <w:rPr>
                <w:rFonts w:ascii="宋体" w:hAnsi="宋体" w:cs="宋体" w:hint="eastAsia"/>
                <w:szCs w:val="21"/>
              </w:rPr>
              <w:t>提供类似项目合作单位清单及项目概况，提供数量最多的投标单位得</w:t>
            </w:r>
            <w:r w:rsidR="00B6430B">
              <w:rPr>
                <w:rFonts w:ascii="宋体" w:hAnsi="宋体" w:cs="宋体" w:hint="eastAsia"/>
                <w:szCs w:val="21"/>
              </w:rPr>
              <w:t>5分，其他依次递减</w:t>
            </w:r>
            <w:r w:rsidR="00177EDA">
              <w:rPr>
                <w:rFonts w:ascii="宋体" w:hAnsi="宋体" w:cs="宋体" w:hint="eastAsia"/>
                <w:szCs w:val="21"/>
              </w:rPr>
              <w:t>，</w:t>
            </w:r>
            <w:r w:rsidR="00177EDA" w:rsidRPr="00CD642F">
              <w:rPr>
                <w:rFonts w:ascii="宋体" w:hAnsi="宋体" w:cs="宋体" w:hint="eastAsia"/>
                <w:szCs w:val="21"/>
              </w:rPr>
              <w:t>不满足得0分</w:t>
            </w:r>
            <w:r w:rsidRPr="00414190">
              <w:rPr>
                <w:rFonts w:ascii="宋体" w:hAnsi="宋体" w:cs="宋体" w:hint="eastAsia"/>
                <w:szCs w:val="21"/>
              </w:rPr>
              <w:t>。</w:t>
            </w:r>
          </w:p>
        </w:tc>
      </w:tr>
      <w:tr w:rsidR="00906642" w:rsidTr="00261F2D">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DA6ECA">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414190" w:rsidRDefault="00906642" w:rsidP="00B6430B">
            <w:pPr>
              <w:rPr>
                <w:rFonts w:ascii="宋体" w:hAnsi="宋体" w:cs="宋体"/>
                <w:szCs w:val="21"/>
              </w:rPr>
            </w:pPr>
            <w:r w:rsidRPr="00414190">
              <w:rPr>
                <w:rFonts w:ascii="宋体" w:hAnsi="宋体" w:cs="宋体" w:hint="eastAsia"/>
                <w:szCs w:val="21"/>
              </w:rPr>
              <w:t>交货期最短的投标单位得</w:t>
            </w:r>
            <w:r w:rsidR="00B6430B">
              <w:rPr>
                <w:rFonts w:ascii="宋体" w:hAnsi="宋体" w:cs="宋体" w:hint="eastAsia"/>
                <w:szCs w:val="21"/>
              </w:rPr>
              <w:t>5分，其他依次递减</w:t>
            </w:r>
            <w:r w:rsidRPr="00414190">
              <w:rPr>
                <w:rFonts w:ascii="宋体" w:hAnsi="宋体" w:cs="宋体" w:hint="eastAsia"/>
                <w:szCs w:val="21"/>
              </w:rPr>
              <w:t>。</w:t>
            </w:r>
          </w:p>
        </w:tc>
      </w:tr>
      <w:tr w:rsidR="00906642" w:rsidTr="00261F2D">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DA6ECA">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414190" w:rsidRDefault="00906642" w:rsidP="007513A5">
            <w:pPr>
              <w:rPr>
                <w:rFonts w:ascii="宋体" w:hAnsi="宋体" w:cs="宋体"/>
                <w:szCs w:val="21"/>
              </w:rPr>
            </w:pPr>
            <w:r w:rsidRPr="00414190">
              <w:rPr>
                <w:rFonts w:ascii="宋体" w:hAnsi="宋体" w:cs="宋体" w:hint="eastAsia"/>
                <w:szCs w:val="21"/>
              </w:rPr>
              <w:t>对比投标单位提供的售后服务承诺，包括零配件供应速度，维修反馈时间，人员培训内容，服务费用等指标，服务指标优得</w:t>
            </w:r>
            <w:r w:rsidR="00ED4DA2">
              <w:rPr>
                <w:rFonts w:ascii="宋体" w:hAnsi="宋体" w:cs="宋体" w:hint="eastAsia"/>
                <w:szCs w:val="21"/>
              </w:rPr>
              <w:t>10</w:t>
            </w:r>
            <w:r w:rsidRPr="00414190">
              <w:rPr>
                <w:rFonts w:ascii="宋体" w:hAnsi="宋体" w:cs="宋体" w:hint="eastAsia"/>
                <w:szCs w:val="21"/>
              </w:rPr>
              <w:t>分，</w:t>
            </w:r>
            <w:r w:rsidR="008A14AB" w:rsidRPr="00414190">
              <w:rPr>
                <w:rFonts w:ascii="宋体" w:hAnsi="宋体" w:cs="宋体" w:hint="eastAsia"/>
                <w:szCs w:val="21"/>
              </w:rPr>
              <w:t>其他依次递减</w:t>
            </w:r>
            <w:r w:rsidR="007513A5">
              <w:rPr>
                <w:rFonts w:ascii="宋体" w:hAnsi="宋体" w:cs="宋体" w:hint="eastAsia"/>
                <w:szCs w:val="21"/>
              </w:rPr>
              <w:t>为8,6,4,2,0。</w:t>
            </w:r>
          </w:p>
        </w:tc>
      </w:tr>
      <w:tr w:rsidR="00906642" w:rsidTr="00261F2D">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DA6ECA">
            <w:pPr>
              <w:jc w:val="center"/>
              <w:rPr>
                <w:rFonts w:ascii="宋体" w:hAnsi="宋体" w:cs="宋体"/>
                <w:szCs w:val="21"/>
              </w:rPr>
            </w:pPr>
            <w:r>
              <w:rPr>
                <w:rFonts w:ascii="宋体" w:hAnsi="宋体" w:cs="宋体" w:hint="eastAsia"/>
                <w:szCs w:val="21"/>
              </w:rPr>
              <w:t>70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rsidTr="00261F2D">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DA6ECA">
            <w:pPr>
              <w:jc w:val="center"/>
              <w:rPr>
                <w:rFonts w:ascii="宋体" w:hAnsi="宋体" w:cs="宋体"/>
                <w:szCs w:val="21"/>
              </w:rPr>
            </w:pPr>
            <w:r>
              <w:rPr>
                <w:rFonts w:ascii="宋体" w:hAnsi="宋体" w:cs="宋体" w:hint="eastAsia"/>
                <w:szCs w:val="21"/>
              </w:rPr>
              <w:t>30</w:t>
            </w:r>
          </w:p>
        </w:tc>
        <w:tc>
          <w:tcPr>
            <w:tcW w:w="5660" w:type="dxa"/>
            <w:tcBorders>
              <w:top w:val="nil"/>
              <w:left w:val="nil"/>
              <w:bottom w:val="single" w:sz="4" w:space="0" w:color="auto"/>
              <w:right w:val="single" w:sz="4" w:space="0" w:color="auto"/>
            </w:tcBorders>
            <w:vAlign w:val="center"/>
          </w:tcPr>
          <w:p w:rsidR="00906642" w:rsidRPr="00414190" w:rsidRDefault="002959C3" w:rsidP="00DA6ECA">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DA6ECA">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tc>
      </w:tr>
      <w:tr w:rsidR="00906642" w:rsidTr="00261F2D">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F7" w:rsidRDefault="004D31F7">
      <w:r>
        <w:separator/>
      </w:r>
    </w:p>
  </w:endnote>
  <w:endnote w:type="continuationSeparator" w:id="1">
    <w:p w:rsidR="004D31F7" w:rsidRDefault="004D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347D06">
    <w:pPr>
      <w:pStyle w:val="a7"/>
      <w:jc w:val="distribute"/>
    </w:pPr>
    <w:r>
      <w:pict>
        <v:line id="Line 8" o:spid="_x0000_s2049" style="position:absolute;left:0;text-align:left;z-index:2" from="0,-7.95pt" to="460.6pt,-7.95pt" o:allowincell="f"/>
      </w:pict>
    </w:r>
    <w:r>
      <w:pict>
        <v:line id="Line 7" o:spid="_x0000_s2050" style="position:absolute;left:0;text-align:left;z-index:1" from="0,-13.6pt" to=".05pt,-13.6pt" o:allowincell="f"/>
      </w:pict>
    </w:r>
    <w:r w:rsidR="0068398C">
      <w:rPr>
        <w:rFonts w:ascii="宋体" w:hAnsi="宋体"/>
      </w:rPr>
      <w:t xml:space="preserve">1 - </w:t>
    </w:r>
    <w:r w:rsidRPr="00347D06">
      <w:rPr>
        <w:rFonts w:ascii="宋体" w:hAnsi="宋体"/>
      </w:rPr>
      <w:fldChar w:fldCharType="begin"/>
    </w:r>
    <w:r w:rsidR="0068398C">
      <w:rPr>
        <w:rStyle w:val="a3"/>
        <w:rFonts w:ascii="宋体" w:hAnsi="宋体"/>
      </w:rPr>
      <w:instrText xml:space="preserve"> PAGE </w:instrText>
    </w:r>
    <w:r w:rsidRPr="00347D06">
      <w:rPr>
        <w:rFonts w:ascii="宋体" w:hAnsi="宋体"/>
      </w:rPr>
      <w:fldChar w:fldCharType="separate"/>
    </w:r>
    <w:r w:rsidR="0068398C">
      <w:rPr>
        <w:rStyle w:val="a3"/>
        <w:rFonts w:ascii="宋体" w:hAnsi="宋体"/>
      </w:rPr>
      <w:t>2</w:t>
    </w:r>
    <w:r>
      <w:fldChar w:fldCharType="end"/>
    </w:r>
    <w:r w:rsidR="0068398C">
      <w:rPr>
        <w:rStyle w:val="a3"/>
        <w:rFonts w:hint="eastAsia"/>
      </w:rPr>
      <w:t xml:space="preserve">                                                                                                     </w:t>
    </w:r>
    <w:r w:rsidR="0068398C">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Pr="00601872" w:rsidRDefault="0068398C">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B4" w:rsidRDefault="00F017B4">
    <w:pPr>
      <w:pStyle w:val="a7"/>
    </w:pPr>
  </w:p>
  <w:p w:rsidR="0068398C" w:rsidRDefault="0068398C">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F7" w:rsidRDefault="004D31F7">
      <w:r>
        <w:separator/>
      </w:r>
    </w:p>
  </w:footnote>
  <w:footnote w:type="continuationSeparator" w:id="1">
    <w:p w:rsidR="004D31F7" w:rsidRDefault="004D3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8386A"/>
    <w:rsid w:val="00083C5F"/>
    <w:rsid w:val="00091CBC"/>
    <w:rsid w:val="000B30BC"/>
    <w:rsid w:val="000C0F12"/>
    <w:rsid w:val="000C6327"/>
    <w:rsid w:val="001017FE"/>
    <w:rsid w:val="00107A1F"/>
    <w:rsid w:val="00114197"/>
    <w:rsid w:val="00147FC8"/>
    <w:rsid w:val="00155B2E"/>
    <w:rsid w:val="0016565D"/>
    <w:rsid w:val="00177EDA"/>
    <w:rsid w:val="001963A9"/>
    <w:rsid w:val="001C11DD"/>
    <w:rsid w:val="001D0A70"/>
    <w:rsid w:val="00211EE2"/>
    <w:rsid w:val="00241C2C"/>
    <w:rsid w:val="00253D13"/>
    <w:rsid w:val="00256A0E"/>
    <w:rsid w:val="00261F2D"/>
    <w:rsid w:val="00264B8F"/>
    <w:rsid w:val="00265842"/>
    <w:rsid w:val="0028464B"/>
    <w:rsid w:val="002959C3"/>
    <w:rsid w:val="002A087E"/>
    <w:rsid w:val="002A6B08"/>
    <w:rsid w:val="002E2059"/>
    <w:rsid w:val="002E7742"/>
    <w:rsid w:val="002F352A"/>
    <w:rsid w:val="00321055"/>
    <w:rsid w:val="00341245"/>
    <w:rsid w:val="00347D06"/>
    <w:rsid w:val="0035210A"/>
    <w:rsid w:val="00365913"/>
    <w:rsid w:val="00386581"/>
    <w:rsid w:val="00397137"/>
    <w:rsid w:val="003A7FC9"/>
    <w:rsid w:val="003C260C"/>
    <w:rsid w:val="003D25A0"/>
    <w:rsid w:val="003D336A"/>
    <w:rsid w:val="003E668F"/>
    <w:rsid w:val="00405598"/>
    <w:rsid w:val="00414190"/>
    <w:rsid w:val="004637B0"/>
    <w:rsid w:val="00473BF1"/>
    <w:rsid w:val="00480C19"/>
    <w:rsid w:val="00480F5C"/>
    <w:rsid w:val="00481660"/>
    <w:rsid w:val="004A2AAE"/>
    <w:rsid w:val="004A5588"/>
    <w:rsid w:val="004C07CC"/>
    <w:rsid w:val="004D31F7"/>
    <w:rsid w:val="004D5120"/>
    <w:rsid w:val="005043EE"/>
    <w:rsid w:val="00515F49"/>
    <w:rsid w:val="005306CC"/>
    <w:rsid w:val="0053379E"/>
    <w:rsid w:val="00533AF0"/>
    <w:rsid w:val="0053664E"/>
    <w:rsid w:val="00550D41"/>
    <w:rsid w:val="00572059"/>
    <w:rsid w:val="005856B8"/>
    <w:rsid w:val="00595B03"/>
    <w:rsid w:val="005E185C"/>
    <w:rsid w:val="00601872"/>
    <w:rsid w:val="006442D3"/>
    <w:rsid w:val="00652832"/>
    <w:rsid w:val="00673F73"/>
    <w:rsid w:val="00680C98"/>
    <w:rsid w:val="00680F62"/>
    <w:rsid w:val="0068398C"/>
    <w:rsid w:val="006A2B17"/>
    <w:rsid w:val="006C161E"/>
    <w:rsid w:val="006D102F"/>
    <w:rsid w:val="00712540"/>
    <w:rsid w:val="00717E04"/>
    <w:rsid w:val="007234B4"/>
    <w:rsid w:val="007402F4"/>
    <w:rsid w:val="00740527"/>
    <w:rsid w:val="00740994"/>
    <w:rsid w:val="007513A5"/>
    <w:rsid w:val="007D59F8"/>
    <w:rsid w:val="007E128C"/>
    <w:rsid w:val="007E2769"/>
    <w:rsid w:val="00807201"/>
    <w:rsid w:val="00826629"/>
    <w:rsid w:val="00853C76"/>
    <w:rsid w:val="00860701"/>
    <w:rsid w:val="00871C89"/>
    <w:rsid w:val="00884A95"/>
    <w:rsid w:val="00897B6A"/>
    <w:rsid w:val="008A14AB"/>
    <w:rsid w:val="00904F0E"/>
    <w:rsid w:val="00906471"/>
    <w:rsid w:val="00906642"/>
    <w:rsid w:val="00907797"/>
    <w:rsid w:val="00910869"/>
    <w:rsid w:val="009140D0"/>
    <w:rsid w:val="00931B4C"/>
    <w:rsid w:val="0093532E"/>
    <w:rsid w:val="00936812"/>
    <w:rsid w:val="00950F3F"/>
    <w:rsid w:val="00951C29"/>
    <w:rsid w:val="009766B5"/>
    <w:rsid w:val="009F7091"/>
    <w:rsid w:val="00A169C3"/>
    <w:rsid w:val="00A21512"/>
    <w:rsid w:val="00A4281F"/>
    <w:rsid w:val="00A45562"/>
    <w:rsid w:val="00A64C21"/>
    <w:rsid w:val="00A67ECD"/>
    <w:rsid w:val="00A7762B"/>
    <w:rsid w:val="00A92A34"/>
    <w:rsid w:val="00A9461F"/>
    <w:rsid w:val="00AB09AB"/>
    <w:rsid w:val="00B06BC2"/>
    <w:rsid w:val="00B10E03"/>
    <w:rsid w:val="00B36A94"/>
    <w:rsid w:val="00B37779"/>
    <w:rsid w:val="00B429C1"/>
    <w:rsid w:val="00B45DF8"/>
    <w:rsid w:val="00B46B0F"/>
    <w:rsid w:val="00B50BEF"/>
    <w:rsid w:val="00B5102D"/>
    <w:rsid w:val="00B6430B"/>
    <w:rsid w:val="00B657F6"/>
    <w:rsid w:val="00B701B1"/>
    <w:rsid w:val="00BA4960"/>
    <w:rsid w:val="00BB3953"/>
    <w:rsid w:val="00C06700"/>
    <w:rsid w:val="00C411D1"/>
    <w:rsid w:val="00C46002"/>
    <w:rsid w:val="00C47414"/>
    <w:rsid w:val="00C47A0A"/>
    <w:rsid w:val="00C47B36"/>
    <w:rsid w:val="00C60395"/>
    <w:rsid w:val="00C77AFE"/>
    <w:rsid w:val="00C813C5"/>
    <w:rsid w:val="00C86879"/>
    <w:rsid w:val="00CA2B14"/>
    <w:rsid w:val="00CC044B"/>
    <w:rsid w:val="00CC1C3B"/>
    <w:rsid w:val="00CC7729"/>
    <w:rsid w:val="00CD7E27"/>
    <w:rsid w:val="00D0259B"/>
    <w:rsid w:val="00D0364F"/>
    <w:rsid w:val="00D551E3"/>
    <w:rsid w:val="00D6107E"/>
    <w:rsid w:val="00D63B3A"/>
    <w:rsid w:val="00D8367E"/>
    <w:rsid w:val="00D844F3"/>
    <w:rsid w:val="00D90453"/>
    <w:rsid w:val="00DA6ECA"/>
    <w:rsid w:val="00DF50B1"/>
    <w:rsid w:val="00DF51B6"/>
    <w:rsid w:val="00E22796"/>
    <w:rsid w:val="00E248C3"/>
    <w:rsid w:val="00E42CE8"/>
    <w:rsid w:val="00E452B3"/>
    <w:rsid w:val="00E6599C"/>
    <w:rsid w:val="00E70CF9"/>
    <w:rsid w:val="00E74F63"/>
    <w:rsid w:val="00E80DBD"/>
    <w:rsid w:val="00E84E5E"/>
    <w:rsid w:val="00E93A86"/>
    <w:rsid w:val="00E9568B"/>
    <w:rsid w:val="00EA00C9"/>
    <w:rsid w:val="00EB19F7"/>
    <w:rsid w:val="00EB5AD9"/>
    <w:rsid w:val="00ED4DA2"/>
    <w:rsid w:val="00EE3BEF"/>
    <w:rsid w:val="00EF606A"/>
    <w:rsid w:val="00F017B4"/>
    <w:rsid w:val="00F1567A"/>
    <w:rsid w:val="00F23750"/>
    <w:rsid w:val="00F40B75"/>
    <w:rsid w:val="00F4215F"/>
    <w:rsid w:val="00F47DDB"/>
    <w:rsid w:val="00F70F40"/>
    <w:rsid w:val="00F93D47"/>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basedOn w:val="a0"/>
    <w:link w:val="a7"/>
    <w:uiPriority w:val="99"/>
    <w:locked/>
    <w:rsid w:val="00241C2C"/>
    <w:rPr>
      <w:sz w:val="18"/>
    </w:rPr>
  </w:style>
  <w:style w:type="character" w:customStyle="1" w:styleId="Char">
    <w:name w:val="页眉 Char"/>
    <w:basedOn w:val="a0"/>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basedOn w:val="a0"/>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7</Pages>
  <Words>563</Words>
  <Characters>3210</Characters>
  <Application>Microsoft Office Word</Application>
  <DocSecurity>0</DocSecurity>
  <PresentationFormat/>
  <Lines>26</Lines>
  <Paragraphs>7</Paragraphs>
  <Slides>0</Slides>
  <Notes>0</Notes>
  <HiddenSlides>0</HiddenSlides>
  <MMClips>0</MMClips>
  <ScaleCrop>false</ScaleCrop>
  <Manager/>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微软用户</cp:lastModifiedBy>
  <cp:revision>37</cp:revision>
  <cp:lastPrinted>2020-12-21T06:24:00Z</cp:lastPrinted>
  <dcterms:created xsi:type="dcterms:W3CDTF">2010-02-15T17:56:00Z</dcterms:created>
  <dcterms:modified xsi:type="dcterms:W3CDTF">2021-05-13T06:27:00Z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