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jc w:val="center"/>
        <w:rPr>
          <w:rFonts w:hint="eastAsia" w:ascii="宋体" w:hAnsi="宋体"/>
          <w:b/>
          <w:sz w:val="52"/>
          <w:szCs w:val="52"/>
        </w:rPr>
      </w:pPr>
      <w:r>
        <w:rPr>
          <w:rFonts w:hint="eastAsia" w:ascii="宋体" w:hAnsi="宋体"/>
          <w:b/>
          <w:sz w:val="52"/>
          <w:szCs w:val="52"/>
        </w:rPr>
        <w:t>广州白云山明兴制药有限公司</w:t>
      </w:r>
    </w:p>
    <w:p>
      <w:pPr>
        <w:pStyle w:val="4"/>
        <w:jc w:val="center"/>
        <w:rPr>
          <w:rFonts w:ascii="宋体" w:hAnsi="宋体"/>
          <w:b/>
          <w:sz w:val="52"/>
          <w:szCs w:val="52"/>
        </w:rPr>
      </w:pPr>
      <w:r>
        <w:rPr>
          <w:rFonts w:hint="eastAsia" w:ascii="宋体" w:hAnsi="宋体" w:cs="Times New Roman"/>
          <w:b/>
          <w:sz w:val="52"/>
          <w:szCs w:val="52"/>
          <w:lang w:val="en-US" w:eastAsia="zh-CN"/>
        </w:rPr>
        <w:t>白云厂区</w:t>
      </w:r>
      <w:r>
        <w:rPr>
          <w:rFonts w:hint="eastAsia" w:ascii="宋体" w:hAnsi="宋体" w:cs="Times New Roman"/>
          <w:b/>
          <w:sz w:val="52"/>
          <w:szCs w:val="52"/>
        </w:rPr>
        <w:t>洗衣</w:t>
      </w:r>
      <w:r>
        <w:rPr>
          <w:rFonts w:hint="eastAsia" w:ascii="宋体" w:hAnsi="宋体"/>
          <w:b/>
          <w:sz w:val="52"/>
          <w:szCs w:val="52"/>
        </w:rPr>
        <w:t>机和烘干机</w:t>
      </w:r>
      <w:r>
        <w:rPr>
          <w:rFonts w:hint="eastAsia" w:ascii="宋体" w:hAnsi="宋体"/>
          <w:b/>
          <w:sz w:val="52"/>
          <w:szCs w:val="52"/>
          <w:lang w:val="en-US" w:eastAsia="zh-CN"/>
        </w:rPr>
        <w:t>购置</w:t>
      </w:r>
      <w:r>
        <w:rPr>
          <w:rFonts w:hint="eastAsia" w:ascii="宋体" w:hAnsi="宋体"/>
          <w:b/>
          <w:sz w:val="52"/>
          <w:szCs w:val="52"/>
        </w:rPr>
        <w:t>项目</w:t>
      </w:r>
    </w:p>
    <w:p>
      <w:pPr>
        <w:spacing w:line="300" w:lineRule="auto"/>
        <w:rPr>
          <w:rFonts w:ascii="宋体" w:hAnsi="宋体"/>
          <w:b/>
          <w:color w:val="000000"/>
          <w:sz w:val="24"/>
        </w:rPr>
      </w:pPr>
    </w:p>
    <w:p>
      <w:pPr>
        <w:spacing w:line="300" w:lineRule="auto"/>
        <w:rPr>
          <w:rFonts w:ascii="宋体" w:hAnsi="宋体"/>
          <w:b/>
          <w:color w:val="000000"/>
          <w:sz w:val="24"/>
        </w:rPr>
      </w:pPr>
    </w:p>
    <w:p>
      <w:pPr>
        <w:spacing w:before="120" w:after="120"/>
        <w:jc w:val="center"/>
        <w:rPr>
          <w:rFonts w:ascii="宋体" w:hAnsi="宋体"/>
          <w:color w:val="000000"/>
          <w:w w:val="150"/>
          <w:sz w:val="72"/>
          <w:szCs w:val="72"/>
        </w:rPr>
      </w:pPr>
      <w:r>
        <w:rPr>
          <w:rFonts w:hint="eastAsia" w:ascii="宋体" w:hAnsi="宋体"/>
          <w:color w:val="000000"/>
          <w:w w:val="150"/>
          <w:sz w:val="72"/>
          <w:szCs w:val="72"/>
        </w:rPr>
        <w:t>招</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件</w:t>
      </w:r>
    </w:p>
    <w:p>
      <w:pPr>
        <w:spacing w:before="120" w:after="120"/>
        <w:jc w:val="center"/>
        <w:rPr>
          <w:rFonts w:ascii="宋体" w:hAnsi="宋体"/>
          <w:b/>
          <w:color w:val="000000"/>
          <w:sz w:val="24"/>
        </w:rPr>
      </w:pPr>
    </w:p>
    <w:p>
      <w:pPr>
        <w:spacing w:before="120" w:after="120" w:line="300" w:lineRule="auto"/>
        <w:jc w:val="center"/>
        <w:rPr>
          <w:rFonts w:ascii="宋体" w:hAnsi="宋体"/>
          <w:bCs/>
          <w:color w:val="000000"/>
          <w:sz w:val="36"/>
          <w:szCs w:val="36"/>
        </w:rPr>
      </w:pPr>
      <w:r>
        <w:rPr>
          <w:rFonts w:hint="eastAsia" w:ascii="宋体" w:hAnsi="宋体"/>
          <w:bCs/>
          <w:color w:val="000000"/>
          <w:sz w:val="36"/>
          <w:szCs w:val="36"/>
        </w:rPr>
        <w:t>广州白云山明兴制药有限公司</w:t>
      </w:r>
    </w:p>
    <w:p>
      <w:pPr>
        <w:spacing w:before="120" w:after="120" w:line="300" w:lineRule="auto"/>
        <w:jc w:val="center"/>
        <w:rPr>
          <w:rFonts w:ascii="宋体" w:hAnsi="宋体"/>
          <w:color w:val="000000"/>
          <w:sz w:val="36"/>
          <w:szCs w:val="36"/>
        </w:rPr>
      </w:pPr>
      <w:r>
        <w:rPr>
          <w:rFonts w:hint="eastAsia" w:ascii="宋体" w:hAnsi="宋体"/>
          <w:color w:val="000000"/>
          <w:sz w:val="36"/>
          <w:szCs w:val="36"/>
        </w:rPr>
        <w:t>202</w:t>
      </w:r>
      <w:r>
        <w:rPr>
          <w:rFonts w:hint="eastAsia" w:ascii="宋体" w:hAnsi="宋体"/>
          <w:color w:val="000000"/>
          <w:sz w:val="36"/>
          <w:szCs w:val="36"/>
          <w:lang w:val="en-US" w:eastAsia="zh-CN"/>
        </w:rPr>
        <w:t>3</w:t>
      </w:r>
      <w:r>
        <w:rPr>
          <w:rFonts w:hint="eastAsia" w:ascii="宋体" w:hAnsi="宋体"/>
          <w:color w:val="000000"/>
          <w:sz w:val="36"/>
          <w:szCs w:val="36"/>
        </w:rPr>
        <w:t>年</w:t>
      </w:r>
      <w:r>
        <w:rPr>
          <w:rFonts w:hint="eastAsia" w:ascii="宋体" w:hAnsi="宋体"/>
          <w:color w:val="000000"/>
          <w:sz w:val="36"/>
          <w:szCs w:val="36"/>
          <w:lang w:val="en-US" w:eastAsia="zh-CN"/>
        </w:rPr>
        <w:t>12</w:t>
      </w:r>
      <w:r>
        <w:rPr>
          <w:rFonts w:hint="eastAsia" w:ascii="宋体" w:hAnsi="宋体"/>
          <w:color w:val="000000"/>
          <w:sz w:val="36"/>
          <w:szCs w:val="36"/>
        </w:rPr>
        <w:t xml:space="preserve">月  </w:t>
      </w: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r>
        <w:rPr>
          <w:rFonts w:hint="eastAsia" w:ascii="宋体" w:hAnsi="宋体"/>
          <w:b/>
          <w:color w:val="000000"/>
          <w:kern w:val="28"/>
          <w:sz w:val="32"/>
        </w:rPr>
        <w:t>投标邀请函</w:t>
      </w:r>
    </w:p>
    <w:p>
      <w:pPr>
        <w:spacing w:after="120" w:line="360" w:lineRule="auto"/>
        <w:ind w:firstLine="543" w:firstLineChars="193"/>
        <w:jc w:val="both"/>
        <w:rPr>
          <w:rFonts w:ascii="宋体" w:hAnsi="宋体"/>
          <w:color w:val="000000"/>
          <w:kern w:val="28"/>
          <w:sz w:val="28"/>
          <w:szCs w:val="28"/>
        </w:rPr>
      </w:pPr>
      <w:r>
        <w:rPr>
          <w:rFonts w:hint="eastAsia" w:ascii="宋体" w:hAnsi="宋体"/>
          <w:b/>
          <w:color w:val="000000"/>
          <w:sz w:val="28"/>
          <w:szCs w:val="28"/>
        </w:rPr>
        <w:t>广州白云山明兴制药有限公司“</w:t>
      </w:r>
      <w:r>
        <w:rPr>
          <w:rFonts w:hint="eastAsia" w:ascii="宋体" w:hAnsi="宋体" w:cs="Times New Roman"/>
          <w:b/>
          <w:color w:val="000000"/>
          <w:sz w:val="28"/>
          <w:szCs w:val="28"/>
          <w:lang w:val="en-US" w:eastAsia="zh-CN"/>
        </w:rPr>
        <w:t>白云厂区</w:t>
      </w:r>
      <w:r>
        <w:rPr>
          <w:rFonts w:hint="eastAsia" w:ascii="宋体" w:hAnsi="宋体" w:cs="Times New Roman"/>
          <w:b/>
          <w:color w:val="000000"/>
          <w:sz w:val="28"/>
          <w:szCs w:val="28"/>
        </w:rPr>
        <w:t>洗衣</w:t>
      </w:r>
      <w:r>
        <w:rPr>
          <w:rFonts w:hint="eastAsia" w:ascii="宋体" w:hAnsi="宋体"/>
          <w:b/>
          <w:color w:val="000000"/>
          <w:sz w:val="28"/>
          <w:szCs w:val="28"/>
        </w:rPr>
        <w:t>机和烘干机</w:t>
      </w:r>
      <w:r>
        <w:rPr>
          <w:rFonts w:hint="eastAsia" w:ascii="宋体" w:hAnsi="宋体"/>
          <w:b/>
          <w:color w:val="000000"/>
          <w:sz w:val="28"/>
          <w:szCs w:val="28"/>
          <w:lang w:val="en-US" w:eastAsia="zh-CN"/>
        </w:rPr>
        <w:t>购置</w:t>
      </w:r>
      <w:r>
        <w:rPr>
          <w:rFonts w:hint="eastAsia" w:ascii="宋体" w:hAnsi="宋体"/>
          <w:b/>
          <w:color w:val="000000"/>
          <w:sz w:val="28"/>
          <w:szCs w:val="28"/>
        </w:rPr>
        <w:t>”项目，</w:t>
      </w:r>
      <w:r>
        <w:rPr>
          <w:rFonts w:hint="eastAsia" w:ascii="宋体" w:hAnsi="宋体"/>
          <w:color w:val="000000"/>
          <w:kern w:val="28"/>
          <w:sz w:val="28"/>
          <w:szCs w:val="28"/>
        </w:rPr>
        <w:t>进行公开招标，欢迎国内有能力的合格投标人提交密封投标文件。有关事项如下：</w:t>
      </w:r>
    </w:p>
    <w:p>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hint="eastAsia" w:ascii="宋体" w:hAnsi="宋体" w:cs="Tahoma"/>
          <w:b/>
          <w:sz w:val="28"/>
          <w:szCs w:val="28"/>
        </w:rPr>
        <w:t>项目概况：</w:t>
      </w:r>
    </w:p>
    <w:p>
      <w:pPr>
        <w:spacing w:line="360" w:lineRule="auto"/>
        <w:jc w:val="both"/>
        <w:rPr>
          <w:rFonts w:ascii="宋体" w:hAnsi="宋体"/>
          <w:sz w:val="28"/>
          <w:szCs w:val="28"/>
        </w:rPr>
      </w:pPr>
      <w:r>
        <w:rPr>
          <w:rFonts w:ascii="宋体" w:hAnsi="宋体"/>
          <w:color w:val="000000"/>
          <w:sz w:val="28"/>
          <w:szCs w:val="28"/>
        </w:rPr>
        <w:t>1.1</w:t>
      </w:r>
      <w:r>
        <w:rPr>
          <w:rFonts w:hint="eastAsia" w:ascii="宋体" w:hAnsi="宋体"/>
          <w:color w:val="000000"/>
          <w:sz w:val="28"/>
          <w:szCs w:val="28"/>
        </w:rPr>
        <w:t>招标内容及范围：购置</w:t>
      </w:r>
      <w:r>
        <w:rPr>
          <w:rFonts w:hint="eastAsia" w:ascii="宋体" w:hAnsi="宋体"/>
          <w:color w:val="000000"/>
          <w:sz w:val="28"/>
          <w:szCs w:val="28"/>
          <w:lang w:val="en-US" w:eastAsia="zh-CN"/>
        </w:rPr>
        <w:t>4台30KG不锈钢洗烘一体机、2台50KG工业洗衣机、2台50KG工业烘干机</w:t>
      </w:r>
      <w:r>
        <w:rPr>
          <w:rFonts w:hint="eastAsia" w:ascii="宋体" w:hAnsi="宋体"/>
          <w:color w:val="000000"/>
          <w:sz w:val="28"/>
          <w:szCs w:val="28"/>
        </w:rPr>
        <w:t>，以及设备安装、调试、培训等</w:t>
      </w:r>
      <w:r>
        <w:rPr>
          <w:rFonts w:hint="eastAsia" w:ascii="宋体" w:hAnsi="宋体"/>
          <w:kern w:val="28"/>
          <w:sz w:val="28"/>
          <w:szCs w:val="28"/>
        </w:rPr>
        <w:t>及相关服务</w:t>
      </w:r>
      <w:r>
        <w:rPr>
          <w:rFonts w:hint="eastAsia"/>
          <w:sz w:val="28"/>
          <w:szCs w:val="28"/>
        </w:rPr>
        <w:t>。</w:t>
      </w:r>
    </w:p>
    <w:p>
      <w:pPr>
        <w:spacing w:line="360" w:lineRule="auto"/>
        <w:jc w:val="both"/>
        <w:rPr>
          <w:sz w:val="28"/>
          <w:szCs w:val="28"/>
        </w:rPr>
      </w:pPr>
      <w:r>
        <w:rPr>
          <w:rFonts w:ascii="宋体" w:hAnsi="宋体"/>
          <w:color w:val="000000"/>
          <w:sz w:val="28"/>
          <w:szCs w:val="28"/>
        </w:rPr>
        <w:t>1.2</w:t>
      </w:r>
      <w:r>
        <w:rPr>
          <w:rFonts w:hint="eastAsia" w:ascii="宋体" w:hAnsi="宋体"/>
          <w:color w:val="000000"/>
          <w:sz w:val="28"/>
          <w:szCs w:val="28"/>
        </w:rPr>
        <w:t>资金来源：企业自筹。</w:t>
      </w:r>
    </w:p>
    <w:p>
      <w:pPr>
        <w:spacing w:line="360" w:lineRule="auto"/>
        <w:jc w:val="both"/>
        <w:rPr>
          <w:sz w:val="28"/>
          <w:szCs w:val="28"/>
        </w:rPr>
      </w:pPr>
      <w:r>
        <w:rPr>
          <w:rFonts w:ascii="宋体" w:hAnsi="宋体"/>
          <w:color w:val="000000"/>
          <w:sz w:val="28"/>
          <w:szCs w:val="28"/>
        </w:rPr>
        <w:t>1.3</w:t>
      </w:r>
      <w:r>
        <w:rPr>
          <w:rFonts w:hint="eastAsia"/>
          <w:sz w:val="28"/>
          <w:szCs w:val="28"/>
        </w:rPr>
        <w:t>项目实施地点：</w:t>
      </w:r>
      <w:r>
        <w:rPr>
          <w:rFonts w:ascii="Times New Roman" w:hAnsi="Times New Roman" w:cs="Times New Roman"/>
          <w:sz w:val="28"/>
          <w:szCs w:val="28"/>
        </w:rPr>
        <w:t>广州市白云区钟落潭镇长腰岭永安街</w:t>
      </w:r>
      <w:r>
        <w:rPr>
          <w:rFonts w:hint="eastAsia" w:ascii="Times New Roman" w:hAnsi="Times New Roman" w:cs="Times New Roman"/>
          <w:sz w:val="28"/>
          <w:szCs w:val="28"/>
          <w:lang w:val="en-US" w:eastAsia="zh-CN"/>
        </w:rPr>
        <w:t>(广州白云山</w:t>
      </w:r>
      <w:r>
        <w:rPr>
          <w:rFonts w:hint="eastAsia" w:ascii="宋体" w:hAnsi="宋体" w:eastAsia="宋体" w:cs="宋体"/>
          <w:sz w:val="28"/>
          <w:szCs w:val="28"/>
          <w:u w:val="none"/>
          <w:lang w:val="en-US" w:eastAsia="zh-CN"/>
        </w:rPr>
        <w:t>明兴制药有限公司白云</w:t>
      </w:r>
      <w:r>
        <w:rPr>
          <w:rFonts w:hint="eastAsia" w:ascii="宋体" w:hAnsi="宋体" w:cs="宋体"/>
          <w:sz w:val="28"/>
          <w:szCs w:val="28"/>
          <w:u w:val="none"/>
          <w:lang w:val="en-US" w:eastAsia="zh-CN"/>
        </w:rPr>
        <w:t>新</w:t>
      </w:r>
      <w:r>
        <w:rPr>
          <w:rFonts w:hint="eastAsia" w:ascii="宋体" w:hAnsi="宋体" w:eastAsia="宋体" w:cs="宋体"/>
          <w:sz w:val="28"/>
          <w:szCs w:val="28"/>
          <w:u w:val="none"/>
          <w:lang w:val="en-US" w:eastAsia="zh-CN"/>
        </w:rPr>
        <w:t>厂)</w:t>
      </w:r>
      <w:r>
        <w:rPr>
          <w:rFonts w:hint="eastAsia" w:ascii="宋体" w:hAnsi="宋体" w:eastAsia="宋体" w:cs="宋体"/>
          <w:sz w:val="28"/>
          <w:szCs w:val="28"/>
        </w:rPr>
        <w:t>。</w:t>
      </w:r>
    </w:p>
    <w:p>
      <w:pPr>
        <w:spacing w:line="360" w:lineRule="auto"/>
        <w:jc w:val="both"/>
        <w:rPr>
          <w:rFonts w:ascii="宋体" w:hAnsi="宋体"/>
          <w:sz w:val="28"/>
          <w:szCs w:val="28"/>
        </w:rPr>
      </w:pPr>
      <w:r>
        <w:rPr>
          <w:rFonts w:hint="eastAsia" w:ascii="宋体" w:hAnsi="宋体"/>
          <w:color w:val="000000"/>
          <w:sz w:val="28"/>
          <w:szCs w:val="28"/>
        </w:rPr>
        <w:t>1.4</w:t>
      </w:r>
      <w:r>
        <w:rPr>
          <w:rFonts w:hint="eastAsia" w:ascii="宋体" w:hAnsi="宋体"/>
          <w:sz w:val="28"/>
          <w:szCs w:val="28"/>
        </w:rPr>
        <w:t>投标人应对本项目所有招标货物和服务进行报价，不允许只对部分货物和服务投标报价。</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 xml:space="preserve">2.合格的投标人 </w:t>
      </w:r>
    </w:p>
    <w:p>
      <w:pPr>
        <w:tabs>
          <w:tab w:val="left" w:pos="540"/>
        </w:tabs>
        <w:spacing w:line="360" w:lineRule="auto"/>
        <w:ind w:left="540" w:hanging="540"/>
        <w:jc w:val="both"/>
        <w:rPr>
          <w:rFonts w:ascii="宋体" w:hAnsi="宋体"/>
          <w:spacing w:val="10"/>
          <w:sz w:val="28"/>
          <w:szCs w:val="28"/>
        </w:rPr>
      </w:pPr>
      <w:r>
        <w:rPr>
          <w:rFonts w:hint="eastAsia" w:ascii="宋体" w:hAnsi="宋体"/>
          <w:spacing w:val="10"/>
          <w:sz w:val="28"/>
          <w:szCs w:val="28"/>
        </w:rPr>
        <w:t>2.1</w:t>
      </w:r>
      <w:r>
        <w:rPr>
          <w:rFonts w:hint="eastAsia" w:ascii="宋体" w:hAnsi="宋体"/>
          <w:sz w:val="28"/>
          <w:szCs w:val="28"/>
        </w:rPr>
        <w:t>投标人必须</w:t>
      </w:r>
      <w:r>
        <w:rPr>
          <w:rFonts w:hint="eastAsia" w:ascii="宋体" w:hAnsi="宋体"/>
          <w:spacing w:val="10"/>
          <w:sz w:val="28"/>
          <w:szCs w:val="28"/>
        </w:rPr>
        <w:t>是独立于招标人和招标代理机构的在中华人民共和国注册的独立法人机构；</w:t>
      </w:r>
    </w:p>
    <w:p>
      <w:pPr>
        <w:tabs>
          <w:tab w:val="left" w:pos="540"/>
        </w:tabs>
        <w:spacing w:line="360" w:lineRule="auto"/>
        <w:ind w:left="360" w:hanging="360"/>
        <w:rPr>
          <w:rFonts w:ascii="宋体" w:hAnsi="宋体"/>
          <w:spacing w:val="10"/>
          <w:sz w:val="28"/>
          <w:szCs w:val="28"/>
        </w:rPr>
      </w:pPr>
      <w:r>
        <w:rPr>
          <w:rFonts w:hint="eastAsia" w:ascii="宋体" w:hAnsi="宋体"/>
          <w:spacing w:val="10"/>
          <w:sz w:val="28"/>
          <w:szCs w:val="28"/>
        </w:rPr>
        <w:t>2.2必须是本次招标货物的主要制造商</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2.3投标人必须具有设备现场安装、调试、维修能力，具有完成本次招标合同、为本次招标货物提供长期售后服务和长期提供备品备件的能力。</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2.4本项目不接受联合体投标。</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3、获取招标文件</w:t>
      </w:r>
    </w:p>
    <w:p>
      <w:pPr>
        <w:spacing w:line="360" w:lineRule="auto"/>
        <w:ind w:left="300" w:hanging="300"/>
        <w:jc w:val="both"/>
        <w:rPr>
          <w:rFonts w:ascii="宋体" w:hAnsi="宋体"/>
          <w:sz w:val="28"/>
          <w:szCs w:val="28"/>
        </w:rPr>
      </w:pPr>
      <w:r>
        <w:rPr>
          <w:rFonts w:hint="eastAsia" w:ascii="宋体" w:hAnsi="宋体"/>
          <w:sz w:val="28"/>
          <w:szCs w:val="28"/>
        </w:rPr>
        <w:t>3.1标书挂网时间</w:t>
      </w:r>
      <w:r>
        <w:rPr>
          <w:rFonts w:hint="eastAsia" w:ascii="宋体" w:hAnsi="宋体"/>
          <w:color w:val="000000"/>
          <w:sz w:val="28"/>
          <w:szCs w:val="28"/>
        </w:rPr>
        <w:t>：202</w:t>
      </w:r>
      <w:r>
        <w:rPr>
          <w:rFonts w:hint="eastAsia" w:ascii="宋体" w:hAnsi="宋体"/>
          <w:color w:val="000000"/>
          <w:sz w:val="28"/>
          <w:szCs w:val="28"/>
          <w:lang w:val="en-US" w:eastAsia="zh-CN"/>
        </w:rPr>
        <w:t>3</w:t>
      </w:r>
      <w:r>
        <w:rPr>
          <w:rFonts w:hint="eastAsia" w:ascii="宋体" w:hAnsi="宋体"/>
          <w:color w:val="000000"/>
          <w:sz w:val="28"/>
          <w:szCs w:val="28"/>
        </w:rPr>
        <w:t>年</w:t>
      </w:r>
      <w:r>
        <w:rPr>
          <w:rFonts w:hint="eastAsia" w:ascii="宋体" w:hAnsi="宋体"/>
          <w:color w:val="000000"/>
          <w:sz w:val="28"/>
          <w:szCs w:val="28"/>
          <w:lang w:val="en-US" w:eastAsia="zh-CN"/>
        </w:rPr>
        <w:t>12</w:t>
      </w:r>
      <w:r>
        <w:rPr>
          <w:rFonts w:hint="eastAsia" w:ascii="宋体" w:hAnsi="宋体"/>
          <w:color w:val="000000"/>
          <w:sz w:val="28"/>
          <w:szCs w:val="28"/>
        </w:rPr>
        <w:t>月</w:t>
      </w:r>
      <w:r>
        <w:rPr>
          <w:rFonts w:hint="eastAsia" w:ascii="宋体" w:hAnsi="宋体"/>
          <w:color w:val="000000"/>
          <w:sz w:val="28"/>
          <w:szCs w:val="28"/>
          <w:lang w:val="en-US" w:eastAsia="zh-CN"/>
        </w:rPr>
        <w:t>29</w:t>
      </w:r>
      <w:r>
        <w:rPr>
          <w:rFonts w:hint="eastAsia" w:ascii="宋体" w:hAnsi="宋体"/>
          <w:color w:val="000000"/>
          <w:sz w:val="28"/>
          <w:szCs w:val="28"/>
        </w:rPr>
        <w:t>日9:00。</w:t>
      </w:r>
    </w:p>
    <w:p>
      <w:pPr>
        <w:tabs>
          <w:tab w:val="left" w:pos="6915"/>
        </w:tabs>
        <w:spacing w:line="360" w:lineRule="auto"/>
        <w:ind w:left="300" w:hanging="300"/>
        <w:jc w:val="both"/>
        <w:rPr>
          <w:rFonts w:ascii="宋体" w:hAnsi="宋体"/>
          <w:sz w:val="28"/>
          <w:szCs w:val="28"/>
        </w:rPr>
      </w:pPr>
      <w:r>
        <w:rPr>
          <w:rFonts w:hint="eastAsia" w:ascii="宋体" w:hAnsi="宋体"/>
          <w:sz w:val="28"/>
          <w:szCs w:val="28"/>
        </w:rPr>
        <w:t>3.2发放方式：广州白云山明兴制药有限公司网站。</w:t>
      </w:r>
      <w:r>
        <w:rPr>
          <w:rFonts w:ascii="宋体" w:hAnsi="宋体"/>
          <w:sz w:val="28"/>
          <w:szCs w:val="28"/>
        </w:rPr>
        <w:tab/>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4、拦标价：</w:t>
      </w:r>
      <w:r>
        <w:rPr>
          <w:rFonts w:hint="eastAsia" w:ascii="宋体" w:hAnsi="宋体" w:cs="Tahoma"/>
          <w:sz w:val="28"/>
          <w:szCs w:val="28"/>
        </w:rPr>
        <w:t>3</w:t>
      </w:r>
      <w:r>
        <w:rPr>
          <w:rFonts w:hint="eastAsia" w:ascii="宋体" w:hAnsi="宋体" w:cs="Tahoma"/>
          <w:sz w:val="28"/>
          <w:szCs w:val="28"/>
          <w:lang w:val="en-US" w:eastAsia="zh-CN"/>
        </w:rPr>
        <w:t>8</w:t>
      </w:r>
      <w:r>
        <w:rPr>
          <w:rFonts w:hint="eastAsia" w:ascii="宋体" w:hAnsi="宋体" w:cs="Tahoma"/>
          <w:sz w:val="28"/>
          <w:szCs w:val="28"/>
        </w:rPr>
        <w:t>万元（大写：人民币叁拾</w:t>
      </w:r>
      <w:r>
        <w:rPr>
          <w:rFonts w:hint="eastAsia" w:ascii="宋体" w:hAnsi="宋体" w:cs="Tahoma"/>
          <w:sz w:val="28"/>
          <w:szCs w:val="28"/>
          <w:lang w:val="en-US" w:eastAsia="zh-CN"/>
        </w:rPr>
        <w:t>捌</w:t>
      </w:r>
      <w:r>
        <w:rPr>
          <w:rFonts w:hint="eastAsia" w:ascii="宋体" w:hAnsi="宋体" w:cs="Tahoma"/>
          <w:sz w:val="28"/>
          <w:szCs w:val="28"/>
        </w:rPr>
        <w:t>万元整）</w:t>
      </w:r>
    </w:p>
    <w:p>
      <w:pPr>
        <w:snapToGrid w:val="0"/>
        <w:spacing w:beforeLines="50" w:line="360" w:lineRule="auto"/>
        <w:rPr>
          <w:rFonts w:ascii="宋体" w:hAnsi="宋体" w:cs="Tahoma"/>
          <w:b/>
          <w:sz w:val="28"/>
          <w:szCs w:val="28"/>
        </w:rPr>
      </w:pPr>
      <w:r>
        <w:rPr>
          <w:rFonts w:hint="eastAsia" w:ascii="宋体" w:hAnsi="宋体" w:cs="Tahoma"/>
          <w:b/>
          <w:sz w:val="28"/>
          <w:szCs w:val="28"/>
        </w:rPr>
        <w:t>5、投标文件的收取</w:t>
      </w:r>
    </w:p>
    <w:p>
      <w:pPr>
        <w:spacing w:line="360" w:lineRule="auto"/>
        <w:jc w:val="both"/>
        <w:rPr>
          <w:rFonts w:ascii="宋体" w:hAnsi="宋体"/>
          <w:color w:val="000000"/>
          <w:sz w:val="28"/>
          <w:szCs w:val="28"/>
        </w:rPr>
      </w:pPr>
      <w:r>
        <w:rPr>
          <w:rFonts w:hint="eastAsia" w:ascii="宋体" w:hAnsi="宋体"/>
          <w:sz w:val="28"/>
          <w:szCs w:val="28"/>
        </w:rPr>
        <w:t>5.1递交投标文件时</w:t>
      </w:r>
      <w:r>
        <w:rPr>
          <w:rFonts w:hint="eastAsia" w:ascii="宋体" w:hAnsi="宋体"/>
          <w:color w:val="000000"/>
          <w:sz w:val="28"/>
          <w:szCs w:val="28"/>
        </w:rPr>
        <w:t>间为</w:t>
      </w:r>
      <w:r>
        <w:rPr>
          <w:rFonts w:hint="eastAsia"/>
          <w:color w:val="333333"/>
          <w:sz w:val="29"/>
          <w:szCs w:val="29"/>
          <w:shd w:val="clear" w:color="auto" w:fill="FFFFFF"/>
        </w:rPr>
        <w:t>202</w:t>
      </w:r>
      <w:r>
        <w:rPr>
          <w:rFonts w:hint="eastAsia"/>
          <w:color w:val="333333"/>
          <w:sz w:val="29"/>
          <w:szCs w:val="29"/>
          <w:shd w:val="clear" w:color="auto" w:fill="FFFFFF"/>
          <w:lang w:val="en-US" w:eastAsia="zh-CN"/>
        </w:rPr>
        <w:t>3</w:t>
      </w:r>
      <w:r>
        <w:rPr>
          <w:rFonts w:hint="eastAsia"/>
          <w:color w:val="333333"/>
          <w:sz w:val="29"/>
          <w:szCs w:val="29"/>
          <w:shd w:val="clear" w:color="auto" w:fill="FFFFFF"/>
        </w:rPr>
        <w:t>年</w:t>
      </w:r>
      <w:r>
        <w:rPr>
          <w:rFonts w:hint="eastAsia"/>
          <w:color w:val="333333"/>
          <w:sz w:val="29"/>
          <w:szCs w:val="29"/>
          <w:shd w:val="clear" w:color="auto" w:fill="FFFFFF"/>
          <w:lang w:val="en-US" w:eastAsia="zh-CN"/>
        </w:rPr>
        <w:t>12</w:t>
      </w:r>
      <w:r>
        <w:rPr>
          <w:rFonts w:hint="eastAsia"/>
          <w:color w:val="333333"/>
          <w:sz w:val="29"/>
          <w:szCs w:val="29"/>
          <w:shd w:val="clear" w:color="auto" w:fill="FFFFFF"/>
        </w:rPr>
        <w:t>月</w:t>
      </w:r>
      <w:r>
        <w:rPr>
          <w:rFonts w:hint="eastAsia"/>
          <w:color w:val="333333"/>
          <w:sz w:val="29"/>
          <w:szCs w:val="29"/>
          <w:shd w:val="clear" w:color="auto" w:fill="FFFFFF"/>
          <w:lang w:val="en-US" w:eastAsia="zh-CN"/>
        </w:rPr>
        <w:t>29</w:t>
      </w:r>
      <w:r>
        <w:rPr>
          <w:rFonts w:hint="eastAsia"/>
          <w:color w:val="333333"/>
          <w:sz w:val="29"/>
          <w:szCs w:val="29"/>
          <w:shd w:val="clear" w:color="auto" w:fill="FFFFFF"/>
        </w:rPr>
        <w:t>日9:00到202</w:t>
      </w:r>
      <w:r>
        <w:rPr>
          <w:rFonts w:hint="eastAsia"/>
          <w:color w:val="333333"/>
          <w:sz w:val="29"/>
          <w:szCs w:val="29"/>
          <w:shd w:val="clear" w:color="auto" w:fill="FFFFFF"/>
          <w:lang w:val="en-US" w:eastAsia="zh-CN"/>
        </w:rPr>
        <w:t>4</w:t>
      </w:r>
      <w:r>
        <w:rPr>
          <w:rFonts w:hint="eastAsia"/>
          <w:color w:val="333333"/>
          <w:sz w:val="29"/>
          <w:szCs w:val="29"/>
          <w:shd w:val="clear" w:color="auto" w:fill="FFFFFF"/>
        </w:rPr>
        <w:t>年</w:t>
      </w:r>
      <w:r>
        <w:rPr>
          <w:rFonts w:hint="eastAsia"/>
          <w:color w:val="333333"/>
          <w:sz w:val="29"/>
          <w:szCs w:val="29"/>
          <w:shd w:val="clear" w:color="auto" w:fill="FFFFFF"/>
          <w:lang w:val="en-US" w:eastAsia="zh-CN"/>
        </w:rPr>
        <w:t>1</w:t>
      </w:r>
      <w:r>
        <w:rPr>
          <w:rFonts w:hint="eastAsia"/>
          <w:color w:val="333333"/>
          <w:sz w:val="29"/>
          <w:szCs w:val="29"/>
          <w:shd w:val="clear" w:color="auto" w:fill="FFFFFF"/>
        </w:rPr>
        <w:t>月</w:t>
      </w:r>
      <w:r>
        <w:rPr>
          <w:rFonts w:hint="eastAsia"/>
          <w:color w:val="333333"/>
          <w:sz w:val="29"/>
          <w:szCs w:val="29"/>
          <w:shd w:val="clear" w:color="auto" w:fill="FFFFFF"/>
          <w:lang w:val="en-US" w:eastAsia="zh-CN"/>
        </w:rPr>
        <w:t>4</w:t>
      </w:r>
      <w:r>
        <w:rPr>
          <w:rFonts w:hint="eastAsia"/>
          <w:color w:val="333333"/>
          <w:sz w:val="29"/>
          <w:szCs w:val="29"/>
          <w:shd w:val="clear" w:color="auto" w:fill="FFFFFF"/>
        </w:rPr>
        <w:t>日17:00</w:t>
      </w:r>
      <w:r>
        <w:rPr>
          <w:rFonts w:hint="eastAsia" w:ascii="宋体" w:hAnsi="宋体"/>
          <w:color w:val="000000"/>
          <w:sz w:val="28"/>
          <w:szCs w:val="28"/>
        </w:rPr>
        <w:t>（北京时间）。</w:t>
      </w:r>
    </w:p>
    <w:p>
      <w:pPr>
        <w:spacing w:line="360" w:lineRule="auto"/>
        <w:ind w:left="315" w:hanging="315"/>
        <w:jc w:val="both"/>
        <w:rPr>
          <w:rFonts w:ascii="宋体" w:hAnsi="宋体"/>
          <w:sz w:val="28"/>
          <w:szCs w:val="28"/>
        </w:rPr>
      </w:pPr>
      <w:r>
        <w:rPr>
          <w:rFonts w:hint="eastAsia" w:ascii="宋体" w:hAnsi="宋体"/>
          <w:color w:val="000000"/>
          <w:sz w:val="28"/>
          <w:szCs w:val="28"/>
        </w:rPr>
        <w:t>5.2投标截止时间为202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olor w:val="000000"/>
          <w:sz w:val="28"/>
          <w:szCs w:val="28"/>
          <w:lang w:val="en-US" w:eastAsia="zh-CN"/>
        </w:rPr>
        <w:t>4</w:t>
      </w:r>
      <w:r>
        <w:rPr>
          <w:rFonts w:hint="eastAsia" w:ascii="宋体" w:hAnsi="宋体"/>
          <w:color w:val="000000"/>
          <w:sz w:val="28"/>
          <w:szCs w:val="28"/>
        </w:rPr>
        <w:t>日17:00（北京时间）</w:t>
      </w:r>
      <w:r>
        <w:rPr>
          <w:rFonts w:hint="eastAsia" w:ascii="宋体" w:hAnsi="宋体"/>
          <w:sz w:val="28"/>
          <w:szCs w:val="28"/>
        </w:rPr>
        <w:t>。</w:t>
      </w:r>
    </w:p>
    <w:p>
      <w:pPr>
        <w:spacing w:line="360" w:lineRule="auto"/>
        <w:jc w:val="both"/>
        <w:rPr>
          <w:rFonts w:ascii="宋体" w:hAnsi="宋体"/>
          <w:sz w:val="28"/>
          <w:szCs w:val="28"/>
        </w:rPr>
      </w:pPr>
      <w:r>
        <w:rPr>
          <w:rFonts w:hint="eastAsia" w:ascii="宋体" w:hAnsi="宋体"/>
          <w:sz w:val="28"/>
          <w:szCs w:val="28"/>
        </w:rPr>
        <w:t>5.3 地址：广州市海珠区工业大道北48号</w:t>
      </w:r>
    </w:p>
    <w:p>
      <w:pPr>
        <w:tabs>
          <w:tab w:val="left" w:pos="0"/>
        </w:tabs>
        <w:autoSpaceDE w:val="0"/>
        <w:autoSpaceDN w:val="0"/>
        <w:spacing w:line="360" w:lineRule="auto"/>
        <w:jc w:val="both"/>
        <w:textAlignment w:val="bottom"/>
        <w:rPr>
          <w:rFonts w:ascii="宋体" w:hAnsi="宋体"/>
          <w:sz w:val="28"/>
          <w:szCs w:val="28"/>
        </w:rPr>
      </w:pPr>
      <w:r>
        <w:rPr>
          <w:rFonts w:hint="eastAsia" w:ascii="宋体" w:hAnsi="宋体"/>
          <w:sz w:val="28"/>
          <w:szCs w:val="28"/>
        </w:rPr>
        <w:t xml:space="preserve">5.4收件人：黄浩贤 </w:t>
      </w:r>
      <w:r>
        <w:rPr>
          <w:rFonts w:ascii="宋体" w:hAnsi="宋体"/>
          <w:sz w:val="28"/>
          <w:szCs w:val="28"/>
        </w:rPr>
        <w:t>020-</w:t>
      </w:r>
      <w:r>
        <w:rPr>
          <w:rFonts w:hint="eastAsia" w:ascii="宋体" w:hAnsi="宋体"/>
          <w:sz w:val="28"/>
          <w:szCs w:val="28"/>
        </w:rPr>
        <w:t>84366714</w:t>
      </w:r>
    </w:p>
    <w:p>
      <w:pPr>
        <w:snapToGrid w:val="0"/>
        <w:spacing w:beforeLines="50" w:line="360" w:lineRule="auto"/>
        <w:rPr>
          <w:rFonts w:ascii="宋体" w:hAnsi="宋体" w:cs="Tahoma"/>
          <w:kern w:val="28"/>
          <w:sz w:val="28"/>
          <w:szCs w:val="28"/>
        </w:rPr>
      </w:pPr>
      <w:r>
        <w:rPr>
          <w:rFonts w:hint="eastAsia" w:ascii="宋体" w:hAnsi="宋体" w:cs="Tahoma"/>
          <w:b/>
          <w:sz w:val="28"/>
          <w:szCs w:val="28"/>
        </w:rPr>
        <w:t>6、投标保证金：</w:t>
      </w:r>
      <w:r>
        <w:rPr>
          <w:rFonts w:hint="eastAsia" w:ascii="宋体" w:hAnsi="宋体" w:cs="Tahoma"/>
          <w:b/>
          <w:kern w:val="28"/>
          <w:sz w:val="28"/>
          <w:szCs w:val="28"/>
        </w:rPr>
        <w:t>无</w:t>
      </w:r>
    </w:p>
    <w:p>
      <w:pPr>
        <w:snapToGrid w:val="0"/>
        <w:spacing w:beforeLines="50" w:line="360" w:lineRule="auto"/>
        <w:rPr>
          <w:rFonts w:ascii="宋体" w:hAnsi="宋体" w:cs="Tahoma"/>
          <w:b/>
          <w:sz w:val="28"/>
          <w:szCs w:val="28"/>
        </w:rPr>
      </w:pPr>
      <w:r>
        <w:rPr>
          <w:rFonts w:hint="eastAsia" w:ascii="宋体" w:hAnsi="宋体" w:cs="Tahoma"/>
          <w:b/>
          <w:sz w:val="28"/>
          <w:szCs w:val="28"/>
        </w:rPr>
        <w:t>7、开标时间和地点：</w:t>
      </w:r>
    </w:p>
    <w:p>
      <w:pPr>
        <w:snapToGrid w:val="0"/>
        <w:spacing w:beforeLines="50" w:line="360" w:lineRule="auto"/>
        <w:rPr>
          <w:rFonts w:ascii="宋体" w:hAnsi="宋体" w:cs="Tahoma"/>
          <w:kern w:val="28"/>
          <w:sz w:val="28"/>
          <w:szCs w:val="28"/>
        </w:rPr>
      </w:pPr>
      <w:r>
        <w:rPr>
          <w:rFonts w:hint="eastAsia" w:ascii="宋体" w:hAnsi="宋体"/>
          <w:sz w:val="28"/>
          <w:szCs w:val="28"/>
        </w:rPr>
        <w:t>7.1开</w:t>
      </w:r>
      <w:r>
        <w:rPr>
          <w:rFonts w:hint="eastAsia" w:ascii="宋体" w:hAnsi="宋体" w:cs="Tahoma"/>
          <w:kern w:val="28"/>
          <w:sz w:val="28"/>
          <w:szCs w:val="28"/>
        </w:rPr>
        <w:t>标时间：</w:t>
      </w:r>
      <w:r>
        <w:rPr>
          <w:rFonts w:hint="eastAsia" w:ascii="宋体" w:hAnsi="宋体" w:cs="Tahoma"/>
          <w:color w:val="000000"/>
          <w:kern w:val="28"/>
          <w:sz w:val="28"/>
          <w:szCs w:val="28"/>
        </w:rPr>
        <w:t>待定</w:t>
      </w:r>
    </w:p>
    <w:p>
      <w:pPr>
        <w:snapToGrid w:val="0"/>
        <w:spacing w:beforeLines="50" w:line="360" w:lineRule="auto"/>
        <w:rPr>
          <w:rFonts w:ascii="宋体" w:hAnsi="宋体"/>
          <w:sz w:val="28"/>
          <w:szCs w:val="28"/>
        </w:rPr>
      </w:pPr>
      <w:r>
        <w:rPr>
          <w:rFonts w:hint="eastAsia" w:ascii="宋体" w:hAnsi="宋体" w:cs="Tahoma"/>
          <w:kern w:val="28"/>
          <w:sz w:val="28"/>
          <w:szCs w:val="28"/>
        </w:rPr>
        <w:t>7.2开标地点：</w:t>
      </w:r>
      <w:r>
        <w:rPr>
          <w:rFonts w:hint="eastAsia" w:ascii="宋体" w:hAnsi="宋体"/>
          <w:sz w:val="28"/>
          <w:szCs w:val="28"/>
        </w:rPr>
        <w:t>广州市海珠区工业大道北48号广州白云山明兴制药有限公司</w:t>
      </w:r>
    </w:p>
    <w:p>
      <w:pPr>
        <w:snapToGrid w:val="0"/>
        <w:spacing w:beforeLines="50" w:line="360" w:lineRule="auto"/>
        <w:ind w:left="616" w:hanging="616" w:hangingChars="219"/>
        <w:rPr>
          <w:rFonts w:ascii="宋体" w:hAnsi="宋体"/>
          <w:b/>
          <w:sz w:val="28"/>
          <w:szCs w:val="28"/>
        </w:rPr>
      </w:pPr>
      <w:r>
        <w:rPr>
          <w:rFonts w:hint="eastAsia" w:ascii="宋体" w:hAnsi="宋体" w:cs="Tahoma"/>
          <w:b/>
          <w:sz w:val="28"/>
          <w:szCs w:val="28"/>
        </w:rPr>
        <w:t>8、</w:t>
      </w:r>
      <w:r>
        <w:rPr>
          <w:rFonts w:hint="eastAsia" w:ascii="宋体" w:hAnsi="宋体"/>
          <w:b/>
          <w:sz w:val="28"/>
          <w:szCs w:val="28"/>
        </w:rPr>
        <w:t>招标人将不承担投标人准备投标文件和递交投标文件以及参加本次投标活动所发生的任何成本或费用。</w:t>
      </w:r>
    </w:p>
    <w:p>
      <w:pPr>
        <w:spacing w:line="360" w:lineRule="auto"/>
        <w:jc w:val="both"/>
        <w:rPr>
          <w:rFonts w:ascii="宋体"/>
          <w:b/>
          <w:sz w:val="28"/>
          <w:szCs w:val="28"/>
        </w:rPr>
      </w:pPr>
      <w:r>
        <w:rPr>
          <w:rFonts w:hint="eastAsia" w:ascii="宋体" w:hAnsi="宋体" w:cs="Tahoma"/>
          <w:b/>
          <w:sz w:val="28"/>
          <w:szCs w:val="28"/>
        </w:rPr>
        <w:t>9、招标人：</w:t>
      </w:r>
      <w:r>
        <w:rPr>
          <w:rFonts w:hint="eastAsia" w:ascii="宋体"/>
          <w:b/>
          <w:sz w:val="28"/>
          <w:szCs w:val="28"/>
        </w:rPr>
        <w:t>广州白云山明兴制药有限公司</w:t>
      </w:r>
    </w:p>
    <w:p>
      <w:pPr>
        <w:spacing w:line="360" w:lineRule="auto"/>
        <w:ind w:firstLine="719" w:firstLineChars="257"/>
        <w:jc w:val="both"/>
        <w:rPr>
          <w:rFonts w:ascii="宋体" w:hAnsi="宋体"/>
          <w:sz w:val="28"/>
          <w:szCs w:val="28"/>
        </w:rPr>
      </w:pPr>
      <w:r>
        <w:rPr>
          <w:rFonts w:hint="eastAsia" w:ascii="宋体" w:hAnsi="宋体"/>
          <w:sz w:val="28"/>
          <w:szCs w:val="28"/>
        </w:rPr>
        <w:t>地</w:t>
      </w:r>
      <w:r>
        <w:rPr>
          <w:rFonts w:ascii="宋体" w:hAnsi="宋体"/>
          <w:sz w:val="28"/>
          <w:szCs w:val="28"/>
        </w:rPr>
        <w:t xml:space="preserve">      址：广州市</w:t>
      </w:r>
      <w:r>
        <w:rPr>
          <w:rFonts w:hint="eastAsia" w:ascii="宋体" w:hAnsi="宋体"/>
          <w:sz w:val="28"/>
          <w:szCs w:val="28"/>
        </w:rPr>
        <w:t>海珠区工业大道北48号</w:t>
      </w:r>
    </w:p>
    <w:p>
      <w:pPr>
        <w:spacing w:line="360" w:lineRule="auto"/>
        <w:ind w:firstLine="719" w:firstLineChars="257"/>
        <w:jc w:val="both"/>
        <w:rPr>
          <w:rFonts w:ascii="宋体" w:hAnsi="宋体"/>
          <w:sz w:val="28"/>
          <w:szCs w:val="28"/>
        </w:rPr>
      </w:pPr>
      <w:r>
        <w:rPr>
          <w:rFonts w:hint="eastAsia" w:ascii="宋体" w:hAnsi="宋体"/>
          <w:sz w:val="28"/>
          <w:szCs w:val="28"/>
        </w:rPr>
        <w:t>电</w:t>
      </w:r>
      <w:r>
        <w:rPr>
          <w:rFonts w:ascii="宋体" w:hAnsi="宋体"/>
          <w:sz w:val="28"/>
          <w:szCs w:val="28"/>
        </w:rPr>
        <w:t xml:space="preserve">      话：020-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传</w:t>
      </w:r>
      <w:r>
        <w:rPr>
          <w:rFonts w:ascii="宋体" w:hAnsi="宋体"/>
          <w:sz w:val="28"/>
          <w:szCs w:val="28"/>
        </w:rPr>
        <w:t xml:space="preserve">      真： 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联</w:t>
      </w:r>
      <w:r>
        <w:rPr>
          <w:rFonts w:ascii="宋体" w:hAnsi="宋体"/>
          <w:sz w:val="28"/>
          <w:szCs w:val="28"/>
        </w:rPr>
        <w:t xml:space="preserve">  系  人：</w:t>
      </w:r>
      <w:r>
        <w:rPr>
          <w:rFonts w:hint="eastAsia" w:ascii="宋体" w:hAnsi="宋体"/>
          <w:sz w:val="28"/>
          <w:szCs w:val="28"/>
        </w:rPr>
        <w:t xml:space="preserve"> 黄浩贤</w:t>
      </w:r>
    </w:p>
    <w:p>
      <w:pPr>
        <w:spacing w:line="360" w:lineRule="auto"/>
        <w:ind w:firstLine="8191" w:firstLineChars="2914"/>
        <w:jc w:val="both"/>
        <w:rPr>
          <w:rFonts w:ascii="宋体" w:hAnsi="宋体"/>
          <w:b/>
          <w:color w:val="000000"/>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rPr>
      </w:pPr>
    </w:p>
    <w:p>
      <w:pPr>
        <w:spacing w:line="360" w:lineRule="auto"/>
        <w:jc w:val="center"/>
        <w:rPr>
          <w:rFonts w:ascii="宋体" w:hAnsi="宋体"/>
          <w:b/>
          <w:color w:val="000000"/>
        </w:rPr>
      </w:pPr>
      <w:r>
        <w:rPr>
          <w:rFonts w:hint="eastAsia" w:ascii="宋体" w:hAnsi="宋体"/>
          <w:b/>
          <w:color w:val="000000"/>
        </w:rPr>
        <w:t>评标方法</w:t>
      </w:r>
    </w:p>
    <w:p>
      <w:pPr>
        <w:numPr>
          <w:ilvl w:val="0"/>
          <w:numId w:val="1"/>
        </w:numPr>
        <w:spacing w:line="360" w:lineRule="auto"/>
        <w:rPr>
          <w:rFonts w:ascii="宋体" w:hAnsi="宋体"/>
          <w:b/>
        </w:rPr>
      </w:pPr>
      <w:r>
        <w:rPr>
          <w:rFonts w:hint="eastAsia" w:ascii="宋体" w:hAnsi="宋体"/>
          <w:b/>
          <w:color w:val="000000"/>
        </w:rPr>
        <w:t>评审规则</w:t>
      </w:r>
    </w:p>
    <w:p>
      <w:pPr>
        <w:widowControl w:val="0"/>
        <w:numPr>
          <w:ilvl w:val="1"/>
          <w:numId w:val="1"/>
        </w:numPr>
        <w:spacing w:line="360" w:lineRule="auto"/>
        <w:jc w:val="both"/>
        <w:rPr>
          <w:rFonts w:ascii="宋体" w:hAnsi="宋体"/>
          <w:color w:val="000000"/>
        </w:rPr>
      </w:pPr>
      <w:r>
        <w:rPr>
          <w:rFonts w:hint="eastAsia" w:ascii="宋体" w:hAnsi="宋体"/>
        </w:rPr>
        <w:t>本评标办法采用综合评分法。</w:t>
      </w:r>
    </w:p>
    <w:p>
      <w:pPr>
        <w:widowControl w:val="0"/>
        <w:numPr>
          <w:ilvl w:val="1"/>
          <w:numId w:val="1"/>
        </w:numPr>
        <w:spacing w:line="360" w:lineRule="auto"/>
        <w:jc w:val="both"/>
        <w:rPr>
          <w:rFonts w:ascii="宋体" w:hAnsi="宋体"/>
          <w:color w:val="000000"/>
        </w:rPr>
      </w:pPr>
      <w:r>
        <w:rPr>
          <w:rFonts w:hint="eastAsia" w:ascii="宋体" w:hAnsi="宋体"/>
        </w:rPr>
        <w:t>评标步骤：先进</w:t>
      </w:r>
      <w:r>
        <w:rPr>
          <w:rFonts w:hint="eastAsia" w:ascii="宋体"/>
        </w:rPr>
        <w:t>行初步评审，再进行技术商务及价格的详细评审。只有通过初步评审的</w:t>
      </w:r>
      <w:r>
        <w:rPr>
          <w:rFonts w:hint="eastAsia" w:ascii="宋体" w:hAnsi="宋体"/>
          <w:color w:val="000000"/>
        </w:rPr>
        <w:t>投标才能进入详细的评审。</w:t>
      </w:r>
    </w:p>
    <w:p>
      <w:pPr>
        <w:widowControl w:val="0"/>
        <w:numPr>
          <w:ilvl w:val="1"/>
          <w:numId w:val="1"/>
        </w:numPr>
        <w:spacing w:line="360" w:lineRule="auto"/>
        <w:jc w:val="both"/>
        <w:rPr>
          <w:rFonts w:ascii="宋体" w:hAnsi="宋体"/>
          <w:b/>
          <w:color w:val="000000"/>
        </w:rPr>
      </w:pPr>
      <w:r>
        <w:rPr>
          <w:rFonts w:hint="eastAsia" w:ascii="宋体" w:hAnsi="宋体"/>
          <w:color w:val="000000"/>
        </w:rPr>
        <w:t>评分及其统计：</w:t>
      </w:r>
      <w:r>
        <w:rPr>
          <w:rFonts w:hint="eastAsia" w:ascii="宋体"/>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pPr>
        <w:numPr>
          <w:ilvl w:val="0"/>
          <w:numId w:val="1"/>
        </w:numPr>
        <w:spacing w:line="360" w:lineRule="auto"/>
        <w:rPr>
          <w:rFonts w:ascii="宋体" w:hAnsi="宋体"/>
          <w:b/>
          <w:color w:val="000000"/>
        </w:rPr>
      </w:pPr>
      <w:r>
        <w:rPr>
          <w:rFonts w:hint="eastAsia" w:ascii="宋体" w:hAnsi="宋体"/>
          <w:b/>
          <w:color w:val="000000"/>
        </w:rPr>
        <w:t>资格评审</w:t>
      </w:r>
    </w:p>
    <w:p>
      <w:pPr>
        <w:numPr>
          <w:ilvl w:val="1"/>
          <w:numId w:val="1"/>
        </w:numPr>
        <w:spacing w:line="360" w:lineRule="auto"/>
        <w:jc w:val="both"/>
        <w:rPr>
          <w:rFonts w:ascii="宋体" w:hAnsi="宋体"/>
          <w:color w:val="000000"/>
        </w:rPr>
      </w:pPr>
      <w:r>
        <w:rPr>
          <w:rFonts w:hint="eastAsia" w:ascii="宋体" w:hAnsi="宋体"/>
          <w:color w:val="000000"/>
        </w:rPr>
        <w:t>评标委员会按照《初步审查表》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pPr>
        <w:pStyle w:val="2"/>
        <w:numPr>
          <w:ilvl w:val="1"/>
          <w:numId w:val="1"/>
        </w:numPr>
        <w:rPr>
          <w:rFonts w:hAnsi="宋体"/>
          <w:color w:val="000000"/>
        </w:rPr>
      </w:pPr>
      <w:r>
        <w:rPr>
          <w:rFonts w:hint="eastAsia" w:hAnsi="宋体"/>
          <w:color w:val="000000"/>
        </w:rPr>
        <w:t>评标委员会将审查投标文件是否完整、有关资格证明文件是否齐全有效、文件签署是否合格、投标有效期是否满足要求等。</w:t>
      </w:r>
    </w:p>
    <w:p>
      <w:pPr>
        <w:pStyle w:val="9"/>
        <w:numPr>
          <w:ilvl w:val="1"/>
          <w:numId w:val="1"/>
        </w:numPr>
        <w:ind w:firstLineChars="0"/>
        <w:jc w:val="both"/>
        <w:rPr>
          <w:rFonts w:ascii="宋体"/>
          <w:color w:val="000000"/>
        </w:rPr>
      </w:pPr>
      <w:r>
        <w:rPr>
          <w:rFonts w:hint="eastAsia" w:ascii="宋体"/>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pPr>
        <w:pStyle w:val="9"/>
        <w:numPr>
          <w:ilvl w:val="1"/>
          <w:numId w:val="1"/>
        </w:numPr>
        <w:ind w:firstLineChars="0"/>
        <w:jc w:val="both"/>
        <w:rPr>
          <w:rFonts w:ascii="宋体"/>
          <w:color w:val="000000"/>
        </w:rPr>
      </w:pPr>
      <w:r>
        <w:rPr>
          <w:rFonts w:hint="eastAsia" w:ascii="宋体"/>
          <w:color w:val="000000"/>
          <w:szCs w:val="21"/>
        </w:rPr>
        <w:t>评标委员会将审查</w:t>
      </w:r>
      <w:r>
        <w:rPr>
          <w:rFonts w:hint="eastAsia" w:ascii="宋体"/>
          <w:b/>
          <w:color w:val="000000"/>
          <w:szCs w:val="21"/>
        </w:rPr>
        <w:t>实质</w:t>
      </w:r>
      <w:r>
        <w:rPr>
          <w:rFonts w:hint="eastAsia" w:ascii="宋体"/>
          <w:color w:val="000000"/>
          <w:szCs w:val="21"/>
        </w:rPr>
        <w:t>参加投标人数是否够3家</w:t>
      </w:r>
      <w:r>
        <w:rPr>
          <w:rFonts w:hint="eastAsia" w:ascii="宋体"/>
          <w:color w:val="000000"/>
          <w:szCs w:val="22"/>
        </w:rPr>
        <w:t>，以决定是否需废标。</w:t>
      </w:r>
    </w:p>
    <w:p>
      <w:pPr>
        <w:numPr>
          <w:ilvl w:val="1"/>
          <w:numId w:val="1"/>
        </w:numPr>
        <w:spacing w:line="360" w:lineRule="auto"/>
        <w:jc w:val="both"/>
        <w:rPr>
          <w:rFonts w:ascii="宋体" w:hAnsi="宋体"/>
          <w:color w:val="000000"/>
        </w:rPr>
      </w:pPr>
      <w:r>
        <w:rPr>
          <w:rFonts w:hint="eastAsia" w:ascii="宋体" w:hAnsi="宋体"/>
          <w:color w:val="000000"/>
        </w:rPr>
        <w:t>无效投标的认定</w:t>
      </w:r>
    </w:p>
    <w:p>
      <w:pPr>
        <w:tabs>
          <w:tab w:val="left" w:pos="1030"/>
        </w:tabs>
        <w:spacing w:line="360" w:lineRule="auto"/>
        <w:ind w:left="721"/>
        <w:jc w:val="both"/>
        <w:rPr>
          <w:rFonts w:ascii="宋体" w:hAnsi="宋体"/>
          <w:color w:val="000000"/>
        </w:rPr>
      </w:pPr>
      <w:r>
        <w:rPr>
          <w:rFonts w:hint="eastAsia" w:ascii="宋体" w:hAnsi="宋体"/>
          <w:color w:val="000000"/>
        </w:rPr>
        <w:t>按《初步审查表》（见附表1）所列各项，评标委员会认为投标文件不满足招标文件要求的，将被认定为无效投标。</w:t>
      </w:r>
    </w:p>
    <w:p>
      <w:pPr>
        <w:numPr>
          <w:ilvl w:val="0"/>
          <w:numId w:val="1"/>
        </w:numPr>
        <w:spacing w:line="360" w:lineRule="auto"/>
        <w:rPr>
          <w:rFonts w:ascii="宋体" w:hAnsi="宋体"/>
          <w:b/>
          <w:color w:val="000000"/>
        </w:rPr>
      </w:pPr>
      <w:r>
        <w:rPr>
          <w:rFonts w:hint="eastAsia" w:ascii="宋体" w:hAnsi="宋体"/>
          <w:b/>
          <w:color w:val="000000"/>
        </w:rPr>
        <w:t>详细评审</w:t>
      </w:r>
    </w:p>
    <w:p>
      <w:pPr>
        <w:pStyle w:val="9"/>
        <w:numPr>
          <w:ilvl w:val="1"/>
          <w:numId w:val="2"/>
        </w:numPr>
        <w:ind w:firstLineChars="0"/>
        <w:jc w:val="both"/>
        <w:rPr>
          <w:rFonts w:ascii="宋体"/>
          <w:color w:val="000000"/>
        </w:rPr>
      </w:pPr>
      <w:r>
        <w:rPr>
          <w:rFonts w:hint="eastAsia" w:ascii="宋体"/>
          <w:color w:val="000000"/>
        </w:rPr>
        <w:t>详细评审</w:t>
      </w:r>
      <w:r>
        <w:rPr>
          <w:rFonts w:hint="eastAsia" w:ascii="宋体"/>
          <w:color w:val="000000"/>
          <w:szCs w:val="22"/>
        </w:rPr>
        <w:t>是对通过初步评</w:t>
      </w:r>
      <w:r>
        <w:rPr>
          <w:rFonts w:hint="eastAsia" w:ascii="宋体"/>
          <w:color w:val="000000"/>
        </w:rPr>
        <w:t>审的投标进行技术商务和价格的评审。</w:t>
      </w:r>
    </w:p>
    <w:p>
      <w:pPr>
        <w:pStyle w:val="9"/>
        <w:numPr>
          <w:ilvl w:val="1"/>
          <w:numId w:val="2"/>
        </w:numPr>
        <w:ind w:firstLineChars="0"/>
        <w:jc w:val="both"/>
        <w:rPr>
          <w:rFonts w:ascii="宋体"/>
          <w:color w:val="000000"/>
        </w:rPr>
      </w:pPr>
      <w:r>
        <w:rPr>
          <w:rFonts w:hint="eastAsia" w:ascii="宋体"/>
          <w:color w:val="000000"/>
        </w:rPr>
        <w:t>技术商务评分详见技术商务评审表附表2 。</w:t>
      </w:r>
    </w:p>
    <w:p>
      <w:pPr>
        <w:pStyle w:val="9"/>
        <w:numPr>
          <w:ilvl w:val="1"/>
          <w:numId w:val="2"/>
        </w:numPr>
        <w:ind w:firstLineChars="0"/>
        <w:jc w:val="both"/>
        <w:rPr>
          <w:rFonts w:ascii="宋体"/>
        </w:rPr>
      </w:pPr>
      <w:r>
        <w:rPr>
          <w:rFonts w:hint="eastAsia" w:ascii="宋体"/>
          <w:b/>
          <w:color w:val="000000"/>
        </w:rPr>
        <w:t>投标报价评审</w:t>
      </w:r>
      <w:r>
        <w:rPr>
          <w:rFonts w:hint="eastAsia" w:ascii="宋体"/>
          <w:color w:val="00000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630" w:right="0" w:firstLine="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价格得分：所有通过初步评审的投标人进入价格评审，取所有进入价格评审的投标人投标价格的算术平均数作为基准价，等于基准价得满分40分。其他投标人的投标价格的价格得分计算见下公式，最低分为0分：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高于基准价：价格得分=[100—100×（投标价格</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—基准价）∕基准价]×40%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低于基准价：价格得分=[100—50×（基准价</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—投标价格）∕基准价]×40%</w:t>
      </w:r>
    </w:p>
    <w:p>
      <w:pPr>
        <w:pStyle w:val="9"/>
        <w:ind w:firstLine="0" w:firstLineChars="0"/>
        <w:jc w:val="both"/>
        <w:rPr>
          <w:rFonts w:ascii="宋体"/>
        </w:rPr>
      </w:pPr>
      <w:r>
        <w:rPr>
          <w:rFonts w:hint="eastAsia" w:ascii="宋体"/>
        </w:rPr>
        <w:t xml:space="preserve">4.    </w:t>
      </w:r>
      <w:r>
        <w:rPr>
          <w:rFonts w:hint="eastAsia" w:ascii="宋体"/>
          <w:color w:val="000000"/>
        </w:rPr>
        <w:t>技</w:t>
      </w:r>
      <w:r>
        <w:rPr>
          <w:rFonts w:hint="eastAsia"/>
          <w:szCs w:val="22"/>
        </w:rPr>
        <w:t>术商务及价格权重分配：</w:t>
      </w:r>
      <w:r>
        <w:tab/>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8"/>
        <w:gridCol w:w="4337"/>
        <w:gridCol w:w="21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评审项目</w:t>
            </w:r>
          </w:p>
        </w:tc>
        <w:tc>
          <w:tcPr>
            <w:tcW w:w="4337" w:type="dxa"/>
            <w:vAlign w:val="center"/>
          </w:tcPr>
          <w:p>
            <w:pPr>
              <w:spacing w:line="360" w:lineRule="auto"/>
              <w:jc w:val="center"/>
              <w:rPr>
                <w:rFonts w:ascii="宋体" w:hAnsi="宋体"/>
              </w:rPr>
            </w:pPr>
            <w:r>
              <w:rPr>
                <w:rFonts w:hint="eastAsia" w:ascii="宋体" w:hAnsi="宋体"/>
              </w:rPr>
              <w:t>技术</w:t>
            </w:r>
          </w:p>
        </w:tc>
        <w:tc>
          <w:tcPr>
            <w:tcW w:w="2168" w:type="dxa"/>
            <w:vAlign w:val="center"/>
          </w:tcPr>
          <w:p>
            <w:pPr>
              <w:spacing w:line="360" w:lineRule="auto"/>
              <w:jc w:val="center"/>
              <w:rPr>
                <w:rFonts w:ascii="宋体" w:hAnsi="宋体"/>
              </w:rPr>
            </w:pPr>
            <w:r>
              <w:rPr>
                <w:rFonts w:hint="eastAsia" w:ascii="宋体" w:hAnsi="宋体"/>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权重</w:t>
            </w:r>
          </w:p>
        </w:tc>
        <w:tc>
          <w:tcPr>
            <w:tcW w:w="4337" w:type="dxa"/>
            <w:vAlign w:val="center"/>
          </w:tcPr>
          <w:p>
            <w:pPr>
              <w:spacing w:line="360" w:lineRule="auto"/>
              <w:jc w:val="center"/>
              <w:rPr>
                <w:rFonts w:ascii="宋体" w:hAnsi="宋体"/>
                <w:b/>
              </w:rPr>
            </w:pPr>
            <w:r>
              <w:rPr>
                <w:rFonts w:hint="eastAsia" w:ascii="宋体" w:hAnsi="宋体"/>
                <w:b/>
              </w:rPr>
              <w:t>60%</w:t>
            </w:r>
          </w:p>
        </w:tc>
        <w:tc>
          <w:tcPr>
            <w:tcW w:w="2168" w:type="dxa"/>
            <w:vAlign w:val="center"/>
          </w:tcPr>
          <w:p>
            <w:pPr>
              <w:spacing w:line="360" w:lineRule="auto"/>
              <w:jc w:val="center"/>
              <w:rPr>
                <w:rFonts w:ascii="宋体" w:hAnsi="宋体"/>
                <w:b/>
              </w:rPr>
            </w:pPr>
            <w:r>
              <w:rPr>
                <w:rFonts w:hint="eastAsia" w:ascii="宋体" w:hAnsi="宋体"/>
                <w:b/>
              </w:rPr>
              <w:t>40%</w:t>
            </w:r>
          </w:p>
        </w:tc>
      </w:tr>
    </w:tbl>
    <w:p>
      <w:pPr>
        <w:pStyle w:val="9"/>
        <w:ind w:firstLine="0" w:firstLineChars="0"/>
        <w:jc w:val="both"/>
        <w:rPr>
          <w:rFonts w:ascii="宋体"/>
        </w:rPr>
      </w:pPr>
      <w:r>
        <w:rPr>
          <w:rFonts w:hint="eastAsia" w:ascii="宋体"/>
        </w:rPr>
        <w:t>5.    根据上述技术商务的评分及其权重分配，代入下列公式计算各投标人的综合得分。</w:t>
      </w:r>
    </w:p>
    <w:p>
      <w:pPr>
        <w:pStyle w:val="9"/>
        <w:ind w:firstLine="630" w:firstLineChars="300"/>
        <w:jc w:val="both"/>
        <w:rPr>
          <w:rFonts w:ascii="宋体"/>
        </w:rPr>
      </w:pPr>
      <w:r>
        <w:rPr>
          <w:rFonts w:hint="eastAsia" w:ascii="宋体"/>
        </w:rPr>
        <w:t>综合得分=</w:t>
      </w:r>
      <w:r>
        <w:rPr>
          <w:rFonts w:hint="eastAsia"/>
          <w:szCs w:val="22"/>
        </w:rPr>
        <w:t>技术商务评分</w:t>
      </w:r>
      <w:r>
        <w:rPr>
          <w:rFonts w:hint="eastAsia" w:ascii="宋体"/>
        </w:rPr>
        <w:t>＋投标报价得分</w:t>
      </w:r>
    </w:p>
    <w:p>
      <w:pPr>
        <w:pStyle w:val="9"/>
        <w:ind w:firstLine="0" w:firstLineChars="0"/>
        <w:jc w:val="both"/>
      </w:pPr>
      <w:r>
        <w:rPr>
          <w:rFonts w:hint="eastAsia" w:ascii="宋体"/>
        </w:rPr>
        <w:t>6.    进入价格评审的各</w:t>
      </w:r>
      <w:r>
        <w:rPr>
          <w:rFonts w:hint="eastAsia"/>
        </w:rPr>
        <w:t>投标人的综合得分从高到低进行排名（综合得分相同时投标报价低者列前；综合得分及投标报价均相同时，技术指标优者列前）。</w:t>
      </w:r>
    </w:p>
    <w:p>
      <w:pPr>
        <w:pStyle w:val="2"/>
        <w:numPr>
          <w:ilvl w:val="1"/>
          <w:numId w:val="0"/>
        </w:numPr>
        <w:rPr>
          <w:rFonts w:hAnsi="宋体"/>
          <w:b/>
          <w:bCs/>
          <w:color w:val="000000"/>
        </w:rPr>
      </w:pPr>
      <w:r>
        <w:rPr>
          <w:rFonts w:hint="eastAsia" w:hAnsi="宋体"/>
          <w:b/>
          <w:bCs/>
          <w:color w:val="000000"/>
        </w:rPr>
        <w:t>四、投标文件的澄清</w:t>
      </w:r>
    </w:p>
    <w:p>
      <w:pPr>
        <w:pStyle w:val="2"/>
        <w:numPr>
          <w:ilvl w:val="1"/>
          <w:numId w:val="0"/>
        </w:numPr>
        <w:ind w:left="359" w:leftChars="1" w:hanging="357" w:hangingChars="170"/>
        <w:rPr>
          <w:rFonts w:hAnsi="宋体"/>
          <w:color w:val="000000"/>
        </w:rPr>
      </w:pPr>
      <w:r>
        <w:rPr>
          <w:rFonts w:hint="eastAsia" w:hAnsi="宋体"/>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pPr>
        <w:pStyle w:val="2"/>
        <w:numPr>
          <w:ilvl w:val="1"/>
          <w:numId w:val="0"/>
        </w:numPr>
        <w:ind w:left="359" w:hanging="359" w:hangingChars="171"/>
        <w:rPr>
          <w:rFonts w:hAnsi="宋体"/>
          <w:color w:val="000000"/>
        </w:rPr>
      </w:pPr>
      <w:r>
        <w:rPr>
          <w:rFonts w:hint="eastAsia" w:hAnsi="宋体"/>
          <w:color w:val="000000"/>
        </w:rPr>
        <w:t>2   评标委员会将允许修正投标文件中不构成实质性偏离的、微小的、非正规的不一致的或不规则的地方，但这些修正不能影响任何投标人相应的名次排序。</w:t>
      </w:r>
    </w:p>
    <w:p>
      <w:pPr>
        <w:pStyle w:val="2"/>
        <w:numPr>
          <w:ilvl w:val="1"/>
          <w:numId w:val="0"/>
        </w:numPr>
        <w:spacing w:afterLines="50"/>
        <w:ind w:left="359" w:hanging="359" w:hangingChars="171"/>
        <w:rPr>
          <w:rFonts w:hAnsi="宋体"/>
          <w:color w:val="000000"/>
        </w:rPr>
      </w:pPr>
      <w:r>
        <w:rPr>
          <w:rFonts w:hint="eastAsia" w:hAnsi="宋体"/>
          <w:color w:val="000000"/>
        </w:rPr>
        <w:t>3   如果投标人希望递交其他资料给评标委员会以引起其注意，则应以书面形式提交。</w:t>
      </w:r>
    </w:p>
    <w:p>
      <w:pPr>
        <w:spacing w:line="360" w:lineRule="auto"/>
        <w:rPr>
          <w:rFonts w:ascii="宋体" w:hAnsi="宋体"/>
          <w:b/>
          <w:bCs/>
          <w:color w:val="000000"/>
        </w:rPr>
      </w:pPr>
      <w:r>
        <w:rPr>
          <w:rFonts w:hint="eastAsia" w:ascii="宋体" w:hAnsi="宋体"/>
          <w:b/>
          <w:bCs/>
          <w:color w:val="000000"/>
        </w:rPr>
        <w:t>五、中标候选人</w:t>
      </w:r>
    </w:p>
    <w:p>
      <w:pPr>
        <w:widowControl w:val="0"/>
        <w:numPr>
          <w:ilvl w:val="1"/>
          <w:numId w:val="1"/>
        </w:numPr>
        <w:spacing w:line="360" w:lineRule="auto"/>
        <w:jc w:val="both"/>
        <w:rPr>
          <w:rFonts w:ascii="宋体" w:hAnsi="宋体"/>
          <w:b/>
          <w:bCs/>
          <w:color w:val="000000"/>
        </w:rPr>
      </w:pPr>
      <w:r>
        <w:rPr>
          <w:rFonts w:ascii="宋体" w:hAnsi="宋体"/>
        </w:rPr>
        <w:t>评标委员会将出具评标报告，并推荐</w:t>
      </w:r>
      <w:r>
        <w:rPr>
          <w:rFonts w:hint="eastAsia" w:ascii="宋体" w:hAnsi="宋体"/>
        </w:rPr>
        <w:t>综合得分第一名的投标人为第一</w:t>
      </w:r>
      <w:r>
        <w:rPr>
          <w:rFonts w:ascii="宋体" w:hAnsi="宋体"/>
        </w:rPr>
        <w:t>中标候选人</w:t>
      </w:r>
      <w:r>
        <w:rPr>
          <w:rFonts w:hint="eastAsia" w:ascii="宋体" w:hAnsi="宋体"/>
        </w:rPr>
        <w:t>，综合得分第二名的投标人为第二中标候选人</w:t>
      </w:r>
      <w:r>
        <w:rPr>
          <w:rFonts w:ascii="宋体" w:hAnsi="宋体"/>
        </w:rPr>
        <w:t>。</w:t>
      </w:r>
    </w:p>
    <w:p>
      <w:pPr>
        <w:widowControl w:val="0"/>
        <w:spacing w:line="360" w:lineRule="auto"/>
        <w:jc w:val="both"/>
        <w:rPr>
          <w:rFonts w:ascii="宋体" w:hAnsi="宋体"/>
          <w:b/>
          <w:bCs/>
          <w:color w:val="000000"/>
        </w:rPr>
      </w:pPr>
      <w:r>
        <w:rPr>
          <w:rFonts w:hint="eastAsia" w:ascii="宋体" w:hAnsi="宋体"/>
          <w:b/>
          <w:bCs/>
          <w:color w:val="000000"/>
        </w:rPr>
        <w:t>六、拒绝任何或所有投标的权利</w:t>
      </w:r>
    </w:p>
    <w:p>
      <w:pPr>
        <w:pStyle w:val="2"/>
        <w:numPr>
          <w:ilvl w:val="1"/>
          <w:numId w:val="0"/>
        </w:numPr>
        <w:rPr>
          <w:rFonts w:hAnsi="宋体"/>
          <w:color w:val="000000"/>
        </w:rPr>
      </w:pPr>
      <w:r>
        <w:rPr>
          <w:rFonts w:hint="eastAsia" w:hAnsi="宋体"/>
          <w:color w:val="000000"/>
        </w:rPr>
        <w:t>1   评标委员会经评审，认为所有投标都不符合招标文件要求的，可以否决所有投标。</w:t>
      </w:r>
    </w:p>
    <w:p>
      <w:pPr>
        <w:pStyle w:val="2"/>
        <w:numPr>
          <w:ilvl w:val="1"/>
          <w:numId w:val="0"/>
        </w:numPr>
        <w:ind w:left="359" w:hanging="359" w:hangingChars="171"/>
        <w:rPr>
          <w:rFonts w:hAnsi="宋体"/>
          <w:color w:val="000000"/>
        </w:rPr>
      </w:pPr>
      <w:r>
        <w:rPr>
          <w:rFonts w:hint="eastAsia" w:hAnsi="宋体"/>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pPr>
        <w:pStyle w:val="2"/>
        <w:numPr>
          <w:ilvl w:val="1"/>
          <w:numId w:val="0"/>
        </w:numPr>
        <w:rPr>
          <w:rFonts w:hAnsi="宋体"/>
          <w:color w:val="000000"/>
        </w:rPr>
        <w:sectPr>
          <w:footerReference r:id="rId4" w:type="default"/>
          <w:headerReference r:id="rId3" w:type="even"/>
          <w:footerReference r:id="rId5" w:type="even"/>
          <w:pgSz w:w="11907" w:h="16840"/>
          <w:pgMar w:top="1418" w:right="1191" w:bottom="1418" w:left="1361" w:header="737" w:footer="737" w:gutter="0"/>
          <w:cols w:space="720" w:num="1"/>
          <w:docGrid w:type="lines" w:linePitch="285" w:charSpace="0"/>
        </w:sectPr>
      </w:pPr>
    </w:p>
    <w:p>
      <w:pPr>
        <w:spacing w:afterLines="100"/>
        <w:rPr>
          <w:rFonts w:ascii="宋体" w:hAnsi="宋体"/>
          <w:color w:val="000000"/>
        </w:rPr>
      </w:pPr>
      <w:r>
        <w:rPr>
          <w:rFonts w:hint="eastAsia" w:ascii="宋体" w:hAnsi="宋体"/>
          <w:b/>
          <w:color w:val="000000"/>
        </w:rPr>
        <w:t>附表1：</w:t>
      </w:r>
      <w:r>
        <w:rPr>
          <w:rFonts w:hint="eastAsia" w:ascii="宋体" w:hAnsi="宋体" w:cs="宋体"/>
          <w:sz w:val="28"/>
          <w:szCs w:val="28"/>
        </w:rPr>
        <w:t>投标单位资格审查表</w:t>
      </w:r>
    </w:p>
    <w:tbl>
      <w:tblPr>
        <w:tblStyle w:val="11"/>
        <w:tblW w:w="14190" w:type="dxa"/>
        <w:tblInd w:w="93" w:type="dxa"/>
        <w:tblLayout w:type="fixed"/>
        <w:tblCellMar>
          <w:top w:w="0" w:type="dxa"/>
          <w:left w:w="108" w:type="dxa"/>
          <w:bottom w:w="0" w:type="dxa"/>
          <w:right w:w="108" w:type="dxa"/>
        </w:tblCellMar>
      </w:tblPr>
      <w:tblGrid>
        <w:gridCol w:w="531"/>
        <w:gridCol w:w="4704"/>
        <w:gridCol w:w="2718"/>
        <w:gridCol w:w="3119"/>
        <w:gridCol w:w="3118"/>
      </w:tblGrid>
      <w:tr>
        <w:tblPrEx>
          <w:tblCellMar>
            <w:top w:w="0" w:type="dxa"/>
            <w:left w:w="108" w:type="dxa"/>
            <w:bottom w:w="0" w:type="dxa"/>
            <w:right w:w="108" w:type="dxa"/>
          </w:tblCellMar>
        </w:tblPrEx>
        <w:trPr>
          <w:trHeight w:val="66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黑体" w:hAnsi="宋体" w:eastAsia="黑体" w:cs="宋体"/>
                <w:sz w:val="32"/>
                <w:szCs w:val="32"/>
              </w:rPr>
            </w:pPr>
            <w:r>
              <w:rPr>
                <w:rFonts w:hint="eastAsia" w:ascii="黑体" w:hAnsi="宋体" w:eastAsia="黑体" w:cs="宋体"/>
                <w:sz w:val="32"/>
                <w:szCs w:val="32"/>
              </w:rPr>
              <w:t>投 标 单 位 资 格 审 查 表</w:t>
            </w:r>
          </w:p>
        </w:tc>
      </w:tr>
      <w:tr>
        <w:tblPrEx>
          <w:tblCellMar>
            <w:top w:w="0" w:type="dxa"/>
            <w:left w:w="108" w:type="dxa"/>
            <w:bottom w:w="0" w:type="dxa"/>
            <w:right w:w="108" w:type="dxa"/>
          </w:tblCellMar>
        </w:tblPrEx>
        <w:trPr>
          <w:trHeight w:val="360" w:hRule="atLeast"/>
        </w:trPr>
        <w:tc>
          <w:tcPr>
            <w:tcW w:w="53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4704" w:type="dxa"/>
            <w:vMerge w:val="restart"/>
            <w:tcBorders>
              <w:top w:val="nil"/>
              <w:left w:val="single" w:color="auto" w:sz="4" w:space="0"/>
              <w:bottom w:val="single" w:color="000000" w:sz="4" w:space="0"/>
              <w:right w:val="single" w:color="auto"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要      求</w:t>
            </w:r>
          </w:p>
        </w:tc>
        <w:tc>
          <w:tcPr>
            <w:tcW w:w="8955" w:type="dxa"/>
            <w:gridSpan w:val="3"/>
            <w:tcBorders>
              <w:top w:val="single" w:color="auto" w:sz="4" w:space="0"/>
              <w:left w:val="nil"/>
              <w:bottom w:val="single" w:color="auto" w:sz="4" w:space="0"/>
              <w:right w:val="single" w:color="000000"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投  标  单  位</w:t>
            </w:r>
          </w:p>
        </w:tc>
      </w:tr>
      <w:tr>
        <w:tblPrEx>
          <w:tblCellMar>
            <w:top w:w="0" w:type="dxa"/>
            <w:left w:w="108" w:type="dxa"/>
            <w:bottom w:w="0" w:type="dxa"/>
            <w:right w:w="108" w:type="dxa"/>
          </w:tblCellMar>
        </w:tblPrEx>
        <w:trPr>
          <w:trHeight w:val="585" w:hRule="atLeast"/>
        </w:trPr>
        <w:tc>
          <w:tcPr>
            <w:tcW w:w="53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4704" w:type="dxa"/>
            <w:vMerge w:val="continue"/>
            <w:tcBorders>
              <w:top w:val="nil"/>
              <w:left w:val="single" w:color="auto" w:sz="4" w:space="0"/>
              <w:bottom w:val="single" w:color="000000" w:sz="4" w:space="0"/>
              <w:right w:val="single" w:color="auto" w:sz="4" w:space="0"/>
            </w:tcBorders>
            <w:vAlign w:val="center"/>
          </w:tcPr>
          <w:p>
            <w:pPr>
              <w:rPr>
                <w:rFonts w:ascii="黑体" w:hAnsi="宋体" w:eastAsia="黑体" w:cs="宋体"/>
                <w:sz w:val="24"/>
                <w:szCs w:val="24"/>
              </w:rPr>
            </w:pPr>
          </w:p>
        </w:tc>
        <w:tc>
          <w:tcPr>
            <w:tcW w:w="2718" w:type="dxa"/>
            <w:tcBorders>
              <w:top w:val="nil"/>
              <w:left w:val="nil"/>
              <w:bottom w:val="single" w:color="auto" w:sz="4" w:space="0"/>
              <w:right w:val="single" w:color="auto" w:sz="4" w:space="0"/>
            </w:tcBorders>
            <w:vAlign w:val="center"/>
          </w:tcPr>
          <w:p>
            <w:pPr>
              <w:jc w:val="cente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jc w:val="center"/>
              <w:rPr>
                <w:rFonts w:ascii="宋体" w:hAnsi="宋体" w:cs="宋体"/>
                <w:sz w:val="20"/>
              </w:rPr>
            </w:pPr>
          </w:p>
        </w:tc>
      </w:tr>
      <w:tr>
        <w:tblPrEx>
          <w:tblCellMar>
            <w:top w:w="0" w:type="dxa"/>
            <w:left w:w="108" w:type="dxa"/>
            <w:bottom w:w="0" w:type="dxa"/>
            <w:right w:w="108" w:type="dxa"/>
          </w:tblCellMar>
        </w:tblPrEx>
        <w:trPr>
          <w:trHeight w:val="78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4704" w:type="dxa"/>
            <w:tcBorders>
              <w:top w:val="nil"/>
              <w:left w:val="nil"/>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投标文件密封良好，并在密封处加盖公章，否则审核结果不合格</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55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营业执照复印件、税务登记证复印件齐全</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投标文件正、副本各一份</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0"/>
              </w:rPr>
            </w:pPr>
          </w:p>
        </w:tc>
      </w:tr>
      <w:tr>
        <w:tblPrEx>
          <w:tblCellMar>
            <w:top w:w="0" w:type="dxa"/>
            <w:left w:w="108" w:type="dxa"/>
            <w:bottom w:w="0" w:type="dxa"/>
            <w:right w:w="108" w:type="dxa"/>
          </w:tblCellMar>
        </w:tblPrEx>
        <w:trPr>
          <w:trHeight w:val="60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投标价不得超过拦标价</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9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4704" w:type="dxa"/>
            <w:tcBorders>
              <w:top w:val="nil"/>
              <w:left w:val="nil"/>
              <w:bottom w:val="single" w:color="auto" w:sz="4" w:space="0"/>
              <w:right w:val="single" w:color="auto" w:sz="4" w:space="0"/>
            </w:tcBorders>
            <w:vAlign w:val="center"/>
          </w:tcPr>
          <w:p>
            <w:pPr>
              <w:rPr>
                <w:rFonts w:ascii="宋体" w:hAnsi="宋体" w:cs="宋体"/>
                <w:b/>
                <w:bCs/>
                <w:sz w:val="24"/>
                <w:szCs w:val="24"/>
              </w:rPr>
            </w:pPr>
            <w:r>
              <w:rPr>
                <w:rFonts w:hint="eastAsia" w:ascii="宋体" w:hAnsi="宋体" w:cs="宋体"/>
                <w:b/>
                <w:bCs/>
                <w:sz w:val="24"/>
                <w:szCs w:val="24"/>
              </w:rPr>
              <w:t>审查结果（合格/不合格）</w:t>
            </w:r>
          </w:p>
        </w:tc>
        <w:tc>
          <w:tcPr>
            <w:tcW w:w="27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9"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p>
        </w:tc>
      </w:tr>
      <w:tr>
        <w:tblPrEx>
          <w:tblCellMar>
            <w:top w:w="0" w:type="dxa"/>
            <w:left w:w="108" w:type="dxa"/>
            <w:bottom w:w="0" w:type="dxa"/>
            <w:right w:w="108" w:type="dxa"/>
          </w:tblCellMar>
        </w:tblPrEx>
        <w:trPr>
          <w:trHeight w:val="1900" w:hRule="atLeast"/>
        </w:trPr>
        <w:tc>
          <w:tcPr>
            <w:tcW w:w="14190" w:type="dxa"/>
            <w:gridSpan w:val="5"/>
            <w:tcBorders>
              <w:top w:val="single" w:color="auto" w:sz="4" w:space="0"/>
              <w:left w:val="single" w:color="auto" w:sz="4" w:space="0"/>
              <w:bottom w:val="single" w:color="auto" w:sz="4" w:space="0"/>
              <w:right w:val="single" w:color="000000" w:sz="4" w:space="0"/>
            </w:tcBorders>
          </w:tcPr>
          <w:p>
            <w:pPr>
              <w:rPr>
                <w:rFonts w:ascii="宋体" w:hAnsi="宋体" w:cs="宋体"/>
                <w:sz w:val="32"/>
                <w:szCs w:val="32"/>
              </w:rPr>
            </w:pPr>
            <w:r>
              <w:rPr>
                <w:rFonts w:hint="eastAsia" w:ascii="宋体" w:hAnsi="宋体" w:cs="宋体"/>
                <w:sz w:val="32"/>
                <w:szCs w:val="32"/>
              </w:rPr>
              <w:t>评委签名：</w:t>
            </w:r>
          </w:p>
        </w:tc>
      </w:tr>
      <w:tr>
        <w:tblPrEx>
          <w:tblCellMar>
            <w:top w:w="0" w:type="dxa"/>
            <w:left w:w="108" w:type="dxa"/>
            <w:bottom w:w="0" w:type="dxa"/>
            <w:right w:w="108" w:type="dxa"/>
          </w:tblCellMar>
        </w:tblPrEx>
        <w:trPr>
          <w:trHeight w:val="48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rPr>
                <w:rFonts w:ascii="宋体" w:hAnsi="宋体" w:cs="宋体"/>
                <w:sz w:val="24"/>
                <w:szCs w:val="24"/>
              </w:rPr>
            </w:pPr>
            <w:r>
              <w:rPr>
                <w:rFonts w:hint="eastAsia" w:ascii="宋体" w:hAnsi="宋体" w:cs="宋体"/>
                <w:sz w:val="24"/>
                <w:szCs w:val="24"/>
              </w:rPr>
              <w:t xml:space="preserve">                                                                          时间：    　　年    月    日</w:t>
            </w:r>
          </w:p>
        </w:tc>
      </w:tr>
    </w:tbl>
    <w:p>
      <w:pPr>
        <w:spacing w:afterLines="100"/>
        <w:rPr>
          <w:rFonts w:ascii="宋体" w:hAnsi="宋体"/>
          <w:b/>
          <w:color w:val="000000"/>
        </w:rPr>
      </w:pPr>
    </w:p>
    <w:p>
      <w:pPr>
        <w:sectPr>
          <w:footerReference r:id="rId6" w:type="default"/>
          <w:pgSz w:w="16840" w:h="11907" w:orient="landscape"/>
          <w:pgMar w:top="1361" w:right="1418" w:bottom="1191" w:left="1418" w:header="737" w:footer="737" w:gutter="0"/>
          <w:cols w:space="720" w:num="1"/>
          <w:docGrid w:type="lines" w:linePitch="285" w:charSpace="0"/>
        </w:sectPr>
      </w:pPr>
    </w:p>
    <w:p>
      <w:pPr>
        <w:spacing w:afterLines="100"/>
        <w:rPr>
          <w:rFonts w:ascii="宋体" w:hAnsi="宋体"/>
          <w:b/>
          <w:color w:val="000000"/>
        </w:rPr>
      </w:pPr>
      <w:r>
        <w:rPr>
          <w:rFonts w:hint="eastAsia" w:ascii="宋体" w:hAnsi="宋体"/>
          <w:b/>
          <w:color w:val="000000"/>
        </w:rPr>
        <w:t xml:space="preserve">附表2：技术商务评审表 </w:t>
      </w:r>
    </w:p>
    <w:p>
      <w:pPr>
        <w:spacing w:line="360" w:lineRule="auto"/>
        <w:jc w:val="center"/>
        <w:rPr>
          <w:rFonts w:ascii="宋体" w:hAnsi="宋体"/>
          <w:b/>
          <w:color w:val="000000"/>
          <w:sz w:val="24"/>
          <w:szCs w:val="24"/>
        </w:rPr>
      </w:pPr>
      <w:r>
        <w:rPr>
          <w:rFonts w:ascii="宋体" w:hAnsi="宋体"/>
          <w:b/>
          <w:color w:val="000000"/>
          <w:sz w:val="24"/>
          <w:szCs w:val="24"/>
        </w:rPr>
        <w:t>技术</w:t>
      </w:r>
      <w:r>
        <w:rPr>
          <w:rFonts w:hint="eastAsia" w:ascii="宋体" w:hAnsi="宋体"/>
          <w:b/>
          <w:color w:val="000000"/>
          <w:sz w:val="24"/>
          <w:szCs w:val="24"/>
        </w:rPr>
        <w:t>、</w:t>
      </w:r>
      <w:r>
        <w:rPr>
          <w:rFonts w:ascii="宋体" w:hAnsi="宋体"/>
          <w:b/>
          <w:color w:val="000000"/>
          <w:sz w:val="24"/>
          <w:szCs w:val="24"/>
        </w:rPr>
        <w:t>商务打分表</w:t>
      </w:r>
    </w:p>
    <w:p>
      <w:pPr>
        <w:spacing w:line="360" w:lineRule="auto"/>
        <w:rPr>
          <w:rFonts w:ascii="宋体" w:hAnsi="宋体"/>
        </w:rPr>
      </w:pPr>
    </w:p>
    <w:tbl>
      <w:tblPr>
        <w:tblStyle w:val="11"/>
        <w:tblW w:w="0" w:type="auto"/>
        <w:tblInd w:w="93" w:type="dxa"/>
        <w:tblLayout w:type="fixed"/>
        <w:tblCellMar>
          <w:top w:w="0" w:type="dxa"/>
          <w:left w:w="108" w:type="dxa"/>
          <w:bottom w:w="0" w:type="dxa"/>
          <w:right w:w="108" w:type="dxa"/>
        </w:tblCellMar>
      </w:tblPr>
      <w:tblGrid>
        <w:gridCol w:w="820"/>
        <w:gridCol w:w="1600"/>
        <w:gridCol w:w="700"/>
        <w:gridCol w:w="5660"/>
      </w:tblGrid>
      <w:tr>
        <w:tblPrEx>
          <w:tblCellMar>
            <w:top w:w="0" w:type="dxa"/>
            <w:left w:w="108" w:type="dxa"/>
            <w:bottom w:w="0" w:type="dxa"/>
            <w:right w:w="108" w:type="dxa"/>
          </w:tblCellMar>
        </w:tblPrEx>
        <w:trPr>
          <w:trHeight w:val="730" w:hRule="atLeast"/>
        </w:trPr>
        <w:tc>
          <w:tcPr>
            <w:tcW w:w="820" w:type="dxa"/>
            <w:tcBorders>
              <w:top w:val="single" w:color="auto" w:sz="8" w:space="0"/>
              <w:left w:val="single" w:color="auto" w:sz="8"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项目</w:t>
            </w:r>
          </w:p>
        </w:tc>
        <w:tc>
          <w:tcPr>
            <w:tcW w:w="16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分项内容</w:t>
            </w:r>
          </w:p>
        </w:tc>
        <w:tc>
          <w:tcPr>
            <w:tcW w:w="7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满分</w:t>
            </w:r>
          </w:p>
        </w:tc>
        <w:tc>
          <w:tcPr>
            <w:tcW w:w="566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评分说明</w:t>
            </w:r>
          </w:p>
        </w:tc>
      </w:tr>
      <w:tr>
        <w:tblPrEx>
          <w:tblCellMar>
            <w:top w:w="0" w:type="dxa"/>
            <w:left w:w="108" w:type="dxa"/>
            <w:bottom w:w="0" w:type="dxa"/>
            <w:right w:w="108" w:type="dxa"/>
          </w:tblCellMar>
        </w:tblPrEx>
        <w:trPr>
          <w:trHeight w:val="700" w:hRule="atLeast"/>
        </w:trPr>
        <w:tc>
          <w:tcPr>
            <w:tcW w:w="820" w:type="dxa"/>
            <w:vMerge w:val="restart"/>
            <w:tcBorders>
              <w:top w:val="nil"/>
              <w:left w:val="single" w:color="auto" w:sz="8" w:space="0"/>
              <w:right w:val="single" w:color="auto" w:sz="4" w:space="0"/>
            </w:tcBorders>
            <w:vAlign w:val="center"/>
          </w:tcPr>
          <w:p>
            <w:pPr>
              <w:ind w:firstLine="265"/>
              <w:rPr>
                <w:rFonts w:ascii="宋体" w:hAnsi="宋体" w:cs="宋体"/>
                <w:sz w:val="24"/>
                <w:szCs w:val="24"/>
              </w:rPr>
            </w:pPr>
            <w:r>
              <w:rPr>
                <w:rFonts w:hint="eastAsia" w:ascii="宋体" w:hAnsi="宋体" w:cs="宋体"/>
                <w:sz w:val="24"/>
                <w:szCs w:val="24"/>
              </w:rPr>
              <w:t>技</w:t>
            </w:r>
          </w:p>
          <w:p>
            <w:pPr>
              <w:ind w:firstLine="265"/>
              <w:rPr>
                <w:rFonts w:ascii="宋体" w:hAnsi="宋体" w:cs="宋体"/>
                <w:sz w:val="24"/>
                <w:szCs w:val="24"/>
              </w:rPr>
            </w:pPr>
            <w:r>
              <w:rPr>
                <w:rFonts w:hint="eastAsia" w:ascii="宋体" w:hAnsi="宋体" w:cs="宋体"/>
                <w:sz w:val="24"/>
                <w:szCs w:val="24"/>
              </w:rPr>
              <w:t>术</w:t>
            </w:r>
          </w:p>
          <w:p>
            <w:pPr>
              <w:ind w:firstLine="265"/>
              <w:rPr>
                <w:rFonts w:ascii="宋体" w:hAnsi="宋体" w:cs="宋体"/>
                <w:szCs w:val="21"/>
              </w:rPr>
            </w:pPr>
            <w:r>
              <w:rPr>
                <w:rFonts w:hint="eastAsia" w:ascii="宋体" w:hAnsi="宋体" w:cs="宋体"/>
                <w:sz w:val="24"/>
                <w:szCs w:val="24"/>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设备产能要求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hint="eastAsia" w:ascii="宋体" w:hAnsi="宋体" w:cs="宋体"/>
                <w:szCs w:val="21"/>
              </w:rPr>
              <w:t>年生产日300天；</w:t>
            </w:r>
            <w:r>
              <w:rPr>
                <w:rFonts w:hint="eastAsia" w:ascii="宋体" w:hAnsi="宋体" w:cs="宋体"/>
                <w:sz w:val="24"/>
                <w:szCs w:val="24"/>
                <w:lang w:val="en-GB" w:bidi="th-TH"/>
              </w:rPr>
              <w:t>环境温度-35</w:t>
            </w:r>
            <w:r>
              <w:rPr>
                <w:rFonts w:hint="eastAsia" w:ascii="宋体" w:hAnsi="宋体" w:cs="宋体"/>
                <w:sz w:val="24"/>
                <w:szCs w:val="24"/>
                <w:lang w:val="en-US" w:eastAsia="zh-CN" w:bidi="th-TH"/>
              </w:rPr>
              <w:t>~45℃</w:t>
            </w:r>
            <w:r>
              <w:rPr>
                <w:rFonts w:hint="eastAsia" w:ascii="宋体" w:hAnsi="宋体" w:cs="宋体"/>
                <w:sz w:val="24"/>
                <w:szCs w:val="24"/>
                <w:lang w:val="en-GB" w:bidi="th-TH"/>
              </w:rPr>
              <w:t>，相对湿度不超过95%的条件下连续运行</w:t>
            </w:r>
            <w:r>
              <w:rPr>
                <w:rFonts w:hint="eastAsia" w:ascii="宋体" w:hAnsi="宋体" w:cs="宋体"/>
                <w:sz w:val="24"/>
                <w:szCs w:val="24"/>
                <w:lang w:val="en-US" w:eastAsia="zh-CN" w:bidi="th-TH"/>
              </w:rPr>
              <w:t>18小时</w:t>
            </w:r>
            <w:r>
              <w:rPr>
                <w:rFonts w:hint="eastAsia" w:ascii="宋体" w:hAnsi="宋体" w:cs="宋体"/>
                <w:szCs w:val="21"/>
              </w:rPr>
              <w:t>；</w:t>
            </w:r>
          </w:p>
          <w:p>
            <w:pPr>
              <w:rPr>
                <w:rFonts w:ascii="宋体" w:hAnsi="宋体" w:cs="宋体"/>
                <w:szCs w:val="21"/>
              </w:rPr>
            </w:pPr>
            <w:r>
              <w:rPr>
                <w:rFonts w:hint="eastAsia" w:ascii="宋体" w:hAnsi="宋体" w:cs="宋体"/>
                <w:szCs w:val="21"/>
              </w:rPr>
              <w:t>综合对比评价优为 ：8-10分，良为：4-7分，一般为1-3分。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设备技术要求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c>
          <w:tcPr>
            <w:tcW w:w="5660" w:type="dxa"/>
            <w:tcBorders>
              <w:top w:val="nil"/>
              <w:left w:val="nil"/>
              <w:bottom w:val="single" w:color="auto" w:sz="4" w:space="0"/>
              <w:right w:val="single" w:color="auto" w:sz="4" w:space="0"/>
            </w:tcBorders>
            <w:vAlign w:val="center"/>
          </w:tcPr>
          <w:p>
            <w:pPr>
              <w:numPr>
                <w:ilvl w:val="0"/>
                <w:numId w:val="3"/>
              </w:numPr>
              <w:rPr>
                <w:rFonts w:hint="eastAsia" w:ascii="宋体" w:hAnsi="宋体" w:eastAsia="宋体" w:cs="宋体"/>
                <w:sz w:val="21"/>
                <w:szCs w:val="21"/>
              </w:rPr>
            </w:pPr>
            <w:r>
              <w:rPr>
                <w:rFonts w:hint="eastAsia" w:ascii="宋体" w:hAnsi="宋体" w:eastAsia="宋体" w:cs="宋体"/>
                <w:color w:val="000000"/>
                <w:sz w:val="21"/>
                <w:szCs w:val="21"/>
                <w:lang w:val="en-US" w:eastAsia="zh-CN"/>
              </w:rPr>
              <w:t>洗衣容量为30kg，适用于洁净区洁净服清洗、脱水、烘干；</w:t>
            </w:r>
          </w:p>
          <w:p>
            <w:pPr>
              <w:numPr>
                <w:ilvl w:val="0"/>
                <w:numId w:val="3"/>
              </w:numPr>
              <w:rPr>
                <w:rFonts w:hint="eastAsia" w:ascii="宋体" w:hAnsi="宋体" w:eastAsia="宋体" w:cs="宋体"/>
                <w:sz w:val="21"/>
                <w:szCs w:val="21"/>
              </w:rPr>
            </w:pPr>
            <w:r>
              <w:rPr>
                <w:rFonts w:hint="eastAsia" w:ascii="宋体" w:hAnsi="宋体" w:eastAsia="宋体" w:cs="宋体"/>
                <w:color w:val="000000"/>
                <w:sz w:val="21"/>
                <w:szCs w:val="21"/>
                <w:lang w:val="en-US" w:eastAsia="zh-CN"/>
              </w:rPr>
              <w:t>洗涤额定容量为50kg，适用于一般区的工衣清洗和脱水；</w:t>
            </w:r>
          </w:p>
          <w:p>
            <w:pPr>
              <w:numPr>
                <w:ilvl w:val="0"/>
                <w:numId w:val="3"/>
              </w:numPr>
              <w:rPr>
                <w:rFonts w:hint="eastAsia" w:ascii="宋体" w:hAnsi="宋体" w:eastAsia="宋体" w:cs="宋体"/>
                <w:sz w:val="21"/>
                <w:szCs w:val="21"/>
              </w:rPr>
            </w:pPr>
            <w:r>
              <w:rPr>
                <w:rFonts w:hint="eastAsia" w:ascii="宋体" w:hAnsi="宋体" w:eastAsia="宋体" w:cs="宋体"/>
                <w:color w:val="000000"/>
                <w:sz w:val="21"/>
                <w:szCs w:val="21"/>
                <w:lang w:val="en-US" w:eastAsia="zh-CN"/>
              </w:rPr>
              <w:t>额定容量为50kg，适用于一般区的工衣烘干；</w:t>
            </w:r>
          </w:p>
          <w:p>
            <w:pPr>
              <w:numPr>
                <w:ilvl w:val="0"/>
                <w:numId w:val="3"/>
              </w:numPr>
              <w:rPr>
                <w:rFonts w:hint="eastAsia" w:ascii="宋体" w:hAnsi="宋体" w:eastAsia="宋体" w:cs="宋体"/>
                <w:sz w:val="21"/>
                <w:szCs w:val="21"/>
              </w:rPr>
            </w:pPr>
            <w:r>
              <w:rPr>
                <w:rFonts w:hint="eastAsia" w:ascii="宋体" w:hAnsi="宋体" w:eastAsia="宋体" w:cs="宋体"/>
                <w:sz w:val="21"/>
                <w:szCs w:val="21"/>
                <w:lang w:val="en-GB" w:bidi="th-TH"/>
              </w:rPr>
              <w:t>洗脱烘一体机内胆外简外壳采用304不锈钢</w:t>
            </w:r>
          </w:p>
          <w:p>
            <w:pPr>
              <w:numPr>
                <w:ilvl w:val="0"/>
                <w:numId w:val="3"/>
              </w:numPr>
              <w:rPr>
                <w:rFonts w:hint="eastAsia" w:ascii="宋体" w:hAnsi="宋体" w:eastAsia="宋体" w:cs="宋体"/>
                <w:sz w:val="21"/>
                <w:szCs w:val="21"/>
              </w:rPr>
            </w:pPr>
            <w:r>
              <w:rPr>
                <w:rFonts w:hint="eastAsia" w:ascii="宋体" w:hAnsi="宋体" w:eastAsia="宋体" w:cs="宋体"/>
                <w:color w:val="000000"/>
                <w:sz w:val="21"/>
                <w:szCs w:val="21"/>
                <w:lang w:val="en-GB"/>
              </w:rPr>
              <w:t>全自动洗脱烘一体机将洗衣机、脱水机、烘干机有机整合，具有洗涤、脱干</w:t>
            </w:r>
            <w:r>
              <w:rPr>
                <w:rFonts w:hint="eastAsia" w:ascii="宋体" w:hAnsi="宋体" w:eastAsia="宋体" w:cs="宋体"/>
                <w:color w:val="000000"/>
                <w:sz w:val="21"/>
                <w:szCs w:val="21"/>
                <w:lang w:val="en-GB" w:eastAsia="zh-CN"/>
              </w:rPr>
              <w:t>、</w:t>
            </w:r>
            <w:r>
              <w:rPr>
                <w:rFonts w:hint="eastAsia" w:ascii="宋体" w:hAnsi="宋体" w:eastAsia="宋体" w:cs="宋体"/>
                <w:color w:val="000000"/>
                <w:sz w:val="21"/>
                <w:szCs w:val="21"/>
                <w:lang w:val="en-GB"/>
              </w:rPr>
              <w:t>烘干三种功能，实现一机多用</w:t>
            </w:r>
            <w:r>
              <w:rPr>
                <w:rFonts w:hint="eastAsia" w:ascii="宋体" w:hAnsi="宋体" w:eastAsia="宋体" w:cs="宋体"/>
                <w:sz w:val="21"/>
                <w:szCs w:val="21"/>
                <w:lang w:eastAsia="zh-CN"/>
              </w:rPr>
              <w:t>；</w:t>
            </w:r>
          </w:p>
          <w:p>
            <w:pPr>
              <w:numPr>
                <w:ilvl w:val="0"/>
                <w:numId w:val="3"/>
              </w:numPr>
              <w:rPr>
                <w:rFonts w:hint="eastAsia" w:ascii="宋体" w:hAnsi="宋体" w:eastAsia="宋体" w:cs="宋体"/>
                <w:color w:val="000000"/>
                <w:sz w:val="21"/>
                <w:szCs w:val="21"/>
                <w:lang w:val="en-GB"/>
              </w:rPr>
            </w:pPr>
            <w:r>
              <w:rPr>
                <w:rFonts w:hint="eastAsia" w:ascii="宋体" w:hAnsi="宋体" w:eastAsia="宋体" w:cs="宋体"/>
                <w:b w:val="0"/>
                <w:bCs w:val="0"/>
                <w:color w:val="000000"/>
                <w:kern w:val="0"/>
                <w:sz w:val="21"/>
                <w:szCs w:val="21"/>
                <w:lang w:val="en-US" w:eastAsia="zh-CN" w:bidi="ar"/>
              </w:rPr>
              <w:t>全自动洗衣机，</w:t>
            </w:r>
            <w:r>
              <w:rPr>
                <w:rFonts w:hint="eastAsia" w:ascii="宋体" w:hAnsi="宋体" w:eastAsia="宋体" w:cs="宋体"/>
                <w:color w:val="000000"/>
                <w:sz w:val="21"/>
                <w:szCs w:val="21"/>
                <w:lang w:val="en-US" w:eastAsia="zh-CN"/>
              </w:rPr>
              <w:t>洗涤室、洗涤脱水桶、热喷锌外缸、防腐蚀；内胆、外壳采用优质不锈钢材料焊接而成</w:t>
            </w:r>
            <w:r>
              <w:rPr>
                <w:rFonts w:hint="eastAsia" w:ascii="宋体" w:hAnsi="宋体" w:eastAsia="宋体" w:cs="宋体"/>
                <w:color w:val="000000"/>
                <w:sz w:val="21"/>
                <w:szCs w:val="21"/>
                <w:lang w:val="en-GB"/>
              </w:rPr>
              <w:t>；</w:t>
            </w:r>
          </w:p>
          <w:p>
            <w:pPr>
              <w:numPr>
                <w:ilvl w:val="0"/>
                <w:numId w:val="3"/>
              </w:numPr>
              <w:rPr>
                <w:rFonts w:ascii="宋体" w:hAnsi="宋体" w:cs="宋体"/>
                <w:szCs w:val="21"/>
              </w:rPr>
            </w:pPr>
            <w:r>
              <w:rPr>
                <w:rFonts w:hint="eastAsia" w:ascii="宋体" w:hAnsi="宋体" w:eastAsia="宋体" w:cs="宋体"/>
                <w:color w:val="000000"/>
                <w:sz w:val="21"/>
                <w:szCs w:val="21"/>
                <w:lang w:val="en-US" w:eastAsia="zh-CN"/>
              </w:rPr>
              <w:t>全自动烘干机，机器面板采用优质不锈钢材料和不锈钢内滚筒，抗腐蚀能力强，经久耐用</w:t>
            </w:r>
          </w:p>
          <w:p>
            <w:pPr>
              <w:rPr>
                <w:rFonts w:ascii="宋体" w:hAnsi="宋体" w:cs="宋体"/>
                <w:szCs w:val="21"/>
              </w:rPr>
            </w:pPr>
            <w:r>
              <w:rPr>
                <w:rFonts w:hint="eastAsia" w:ascii="宋体" w:hAnsi="宋体" w:cs="宋体"/>
                <w:szCs w:val="21"/>
              </w:rPr>
              <w:t>综合对比评价优为 16-20：分，良为：11-15分，一般为1-10分。</w:t>
            </w:r>
          </w:p>
        </w:tc>
      </w:tr>
      <w:tr>
        <w:tblPrEx>
          <w:tblCellMar>
            <w:top w:w="0" w:type="dxa"/>
            <w:left w:w="108" w:type="dxa"/>
            <w:bottom w:w="0" w:type="dxa"/>
            <w:right w:w="108" w:type="dxa"/>
          </w:tblCellMar>
        </w:tblPrEx>
        <w:trPr>
          <w:trHeight w:val="1378"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其他用户需求响应情况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其他用户需求响应内容全面，具体，准确，综合对比评价优为 ：6-10分。文件基本完整，用户需求响应内容基本齐全，综合对比评价良为：4-6分。文件有缺陷，用户需求响应内容不具体，综合对比评价一般为：1-3分。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设备和辅机</w:t>
            </w:r>
          </w:p>
          <w:p>
            <w:pPr>
              <w:jc w:val="center"/>
              <w:rPr>
                <w:rFonts w:ascii="宋体" w:hAnsi="宋体" w:cs="宋体"/>
                <w:szCs w:val="21"/>
              </w:rPr>
            </w:pPr>
            <w:r>
              <w:rPr>
                <w:rFonts w:hint="eastAsia" w:ascii="宋体" w:hAnsi="宋体" w:cs="宋体"/>
                <w:szCs w:val="21"/>
              </w:rPr>
              <w:t>合理布置情况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供方需要根据房间平面图设计详细的空间布局方案，详细的叙述方案的可行性、合理性、实用性等。方案至少包括：</w:t>
            </w:r>
            <w:r>
              <w:rPr>
                <w:rFonts w:hint="eastAsia" w:ascii="宋体" w:hAnsi="宋体" w:cs="宋体"/>
                <w:szCs w:val="21"/>
              </w:rPr>
              <w:t>配置</w:t>
            </w:r>
            <w:r>
              <w:rPr>
                <w:rFonts w:hint="eastAsia" w:ascii="宋体" w:hAnsi="宋体" w:cs="宋体"/>
                <w:szCs w:val="21"/>
                <w:lang w:val="en-US" w:eastAsia="zh-CN"/>
              </w:rPr>
              <w:t>设备图纸、设备配置</w:t>
            </w:r>
            <w:bookmarkStart w:id="0" w:name="_GoBack"/>
            <w:bookmarkEnd w:id="0"/>
            <w:r>
              <w:rPr>
                <w:rFonts w:hint="eastAsia" w:ascii="宋体" w:hAnsi="宋体" w:cs="宋体"/>
                <w:szCs w:val="21"/>
              </w:rPr>
              <w:t>，满足我司场地安装要求，利于人员操作和使用。布局合理优得6分，其他依次递减。</w:t>
            </w:r>
          </w:p>
        </w:tc>
      </w:tr>
      <w:tr>
        <w:tblPrEx>
          <w:tblCellMar>
            <w:top w:w="0" w:type="dxa"/>
            <w:left w:w="108" w:type="dxa"/>
            <w:bottom w:w="0" w:type="dxa"/>
            <w:right w:w="108" w:type="dxa"/>
          </w:tblCellMar>
        </w:tblPrEx>
        <w:trPr>
          <w:trHeight w:val="88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业绩和经验</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提供类似项目合作单位清单及项目概况，提供数量最多的投标单位得4分，其他依次递减。</w:t>
            </w:r>
          </w:p>
        </w:tc>
      </w:tr>
      <w:tr>
        <w:tblPrEx>
          <w:tblCellMar>
            <w:top w:w="0" w:type="dxa"/>
            <w:left w:w="108" w:type="dxa"/>
            <w:bottom w:w="0" w:type="dxa"/>
            <w:right w:w="108" w:type="dxa"/>
          </w:tblCellMar>
        </w:tblPrEx>
        <w:trPr>
          <w:trHeight w:val="61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交货期</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交货期最短的投标单位得4分，其他依次递减。</w:t>
            </w:r>
          </w:p>
        </w:tc>
      </w:tr>
      <w:tr>
        <w:tblPrEx>
          <w:tblCellMar>
            <w:top w:w="0" w:type="dxa"/>
            <w:left w:w="108" w:type="dxa"/>
            <w:bottom w:w="0" w:type="dxa"/>
            <w:right w:w="108" w:type="dxa"/>
          </w:tblCellMar>
        </w:tblPrEx>
        <w:trPr>
          <w:trHeight w:val="945" w:hRule="atLeast"/>
        </w:trPr>
        <w:tc>
          <w:tcPr>
            <w:tcW w:w="820" w:type="dxa"/>
            <w:vMerge w:val="continue"/>
            <w:tcBorders>
              <w:left w:val="single" w:color="auto" w:sz="8" w:space="0"/>
              <w:bottom w:val="single" w:color="auto" w:sz="4"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对比投标单位提供的售后服务承诺，包括零配件供应速度，维修反馈时间，人员培训内容，服务费用等指标，服务指标优得6分，其他依次递减。</w:t>
            </w:r>
          </w:p>
        </w:tc>
      </w:tr>
      <w:tr>
        <w:tblPrEx>
          <w:tblCellMar>
            <w:top w:w="0" w:type="dxa"/>
            <w:left w:w="108" w:type="dxa"/>
            <w:bottom w:w="0" w:type="dxa"/>
            <w:right w:w="108" w:type="dxa"/>
          </w:tblCellMar>
        </w:tblPrEx>
        <w:trPr>
          <w:trHeight w:val="480" w:hRule="atLeast"/>
        </w:trPr>
        <w:tc>
          <w:tcPr>
            <w:tcW w:w="2420"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技术分合计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1005" w:hRule="atLeast"/>
        </w:trPr>
        <w:tc>
          <w:tcPr>
            <w:tcW w:w="820" w:type="dxa"/>
            <w:tcBorders>
              <w:top w:val="nil"/>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经</w:t>
            </w:r>
          </w:p>
          <w:p>
            <w:pPr>
              <w:jc w:val="center"/>
              <w:rPr>
                <w:rFonts w:ascii="宋体" w:hAnsi="宋体" w:cs="宋体"/>
                <w:szCs w:val="21"/>
              </w:rPr>
            </w:pPr>
            <w:r>
              <w:rPr>
                <w:rFonts w:hint="eastAsia" w:ascii="宋体" w:hAnsi="宋体" w:cs="宋体"/>
                <w:szCs w:val="21"/>
              </w:rPr>
              <w:t>济</w:t>
            </w:r>
          </w:p>
          <w:p>
            <w:pPr>
              <w:jc w:val="center"/>
              <w:rPr>
                <w:rFonts w:ascii="宋体" w:hAnsi="宋体" w:cs="宋体"/>
                <w:szCs w:val="21"/>
              </w:rPr>
            </w:pPr>
            <w:r>
              <w:rPr>
                <w:rFonts w:hint="eastAsia" w:ascii="宋体" w:hAnsi="宋体" w:cs="宋体"/>
                <w:szCs w:val="21"/>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投标报价</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按照本招标文件中</w:t>
            </w:r>
            <w:r>
              <w:rPr>
                <w:rStyle w:val="13"/>
                <w:rFonts w:hint="eastAsia" w:ascii="宋体" w:hAnsi="宋体" w:eastAsia="宋体" w:cs="宋体"/>
                <w:b/>
                <w:bCs/>
                <w:i w:val="0"/>
                <w:iCs w:val="0"/>
                <w:caps w:val="0"/>
                <w:color w:val="333333"/>
                <w:spacing w:val="0"/>
                <w:sz w:val="21"/>
                <w:szCs w:val="21"/>
                <w:shd w:val="clear" w:fill="FFFFFF"/>
              </w:rPr>
              <w:t>三、3</w:t>
            </w:r>
            <w:r>
              <w:rPr>
                <w:rFonts w:hint="eastAsia" w:ascii="宋体" w:hAnsi="宋体" w:eastAsia="宋体" w:cs="宋体"/>
                <w:i w:val="0"/>
                <w:iCs w:val="0"/>
                <w:caps w:val="0"/>
                <w:color w:val="333333"/>
                <w:spacing w:val="0"/>
                <w:sz w:val="21"/>
                <w:szCs w:val="21"/>
                <w:shd w:val="clear" w:fill="FFFFFF"/>
              </w:rPr>
              <w:t>投标报价评审里的规定计算经济分。定为废标的投标书，不参与计算。</w:t>
            </w:r>
          </w:p>
        </w:tc>
      </w:tr>
      <w:tr>
        <w:tblPrEx>
          <w:tblCellMar>
            <w:top w:w="0" w:type="dxa"/>
            <w:left w:w="108" w:type="dxa"/>
            <w:bottom w:w="0" w:type="dxa"/>
            <w:right w:w="108" w:type="dxa"/>
          </w:tblCellMar>
        </w:tblPrEx>
        <w:trPr>
          <w:trHeight w:val="420" w:hRule="atLeast"/>
        </w:trPr>
        <w:tc>
          <w:tcPr>
            <w:tcW w:w="2420" w:type="dxa"/>
            <w:gridSpan w:val="2"/>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共计</w:t>
            </w:r>
          </w:p>
        </w:tc>
        <w:tc>
          <w:tcPr>
            <w:tcW w:w="700" w:type="dxa"/>
            <w:tcBorders>
              <w:top w:val="nil"/>
              <w:left w:val="nil"/>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c>
          <w:tcPr>
            <w:tcW w:w="5660" w:type="dxa"/>
            <w:tcBorders>
              <w:top w:val="nil"/>
              <w:left w:val="nil"/>
              <w:bottom w:val="single" w:color="auto" w:sz="8" w:space="0"/>
              <w:right w:val="single" w:color="auto" w:sz="4" w:space="0"/>
            </w:tcBorders>
            <w:vAlign w:val="center"/>
          </w:tcPr>
          <w:p>
            <w:pPr>
              <w:rPr>
                <w:rFonts w:ascii="宋体" w:hAnsi="宋体" w:cs="宋体"/>
                <w:szCs w:val="21"/>
              </w:rPr>
            </w:pPr>
            <w:r>
              <w:rPr>
                <w:rFonts w:hint="eastAsia" w:ascii="宋体" w:hAnsi="宋体" w:cs="宋体"/>
                <w:szCs w:val="21"/>
              </w:rPr>
              <w:t>　</w:t>
            </w:r>
          </w:p>
        </w:tc>
      </w:tr>
    </w:tbl>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0"/>
        <w:tab w:val="left" w:pos="8100"/>
        <w:tab w:val="clear" w:pos="4153"/>
      </w:tabs>
      <w:rPr>
        <w:rFonts w:ascii="宋体" w:hAnsi="宋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pPr>
    <w:r>
      <w:pict>
        <v:line id="Line 8" o:spid="_x0000_s1025" o:spt="20" style="position:absolute;left:0pt;margin-left:0pt;margin-top:-7.95pt;height:0pt;width:460.6pt;z-index:251660288;mso-width-relative:page;mso-height-relative:page;" coordsize="21600,21600" o:allowincell="f">
          <v:path arrowok="t"/>
          <v:fill focussize="0,0"/>
          <v:stroke/>
          <v:imagedata o:title=""/>
          <o:lock v:ext="edit"/>
        </v:line>
      </w:pict>
    </w:r>
    <w:r>
      <w:pict>
        <v:line id="Line 7" o:spid="_x0000_s1026" o:spt="20" style="position:absolute;left:0pt;margin-left:0pt;margin-top:-13.6pt;height:0pt;width:0.05pt;z-index:251659264;mso-width-relative:page;mso-height-relative:page;" coordsize="21600,21600" o:allowincell="f">
          <v:path arrowok="t"/>
          <v:fill focussize="0,0"/>
          <v:stroke/>
          <v:imagedata o:title=""/>
          <o:lock v:ext="edit"/>
        </v:line>
      </w:pict>
    </w:r>
    <w:r>
      <w:rPr>
        <w:rFonts w:ascii="宋体" w:hAnsi="宋体"/>
      </w:rPr>
      <w:t xml:space="preserve">1 - </w:t>
    </w: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2</w:t>
    </w:r>
    <w:r>
      <w:fldChar w:fldCharType="end"/>
    </w:r>
    <w:r>
      <w:rPr>
        <w:rFonts w:hint="eastAsia" w:ascii="宋体" w:hAnsi="宋体"/>
      </w:rPr>
      <w:t>(招标编号)XXXXXXXXXXXX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tabs>
        <w:tab w:val="left" w:pos="0"/>
        <w:tab w:val="left" w:pos="8370"/>
        <w:tab w:val="clear" w:pos="4153"/>
      </w:tabs>
      <w:ind w:right="360"/>
      <w:jc w:val="center"/>
      <w:rPr>
        <w:rFonts w:ascii="宋体" w:hAnsi="宋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56BED"/>
    <w:multiLevelType w:val="multilevel"/>
    <w:tmpl w:val="57756BED"/>
    <w:lvl w:ilvl="0" w:tentative="0">
      <w:start w:val="1"/>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1">
    <w:nsid w:val="5F6B51F0"/>
    <w:multiLevelType w:val="multilevel"/>
    <w:tmpl w:val="5F6B51F0"/>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B18C8"/>
    <w:multiLevelType w:val="multilevel"/>
    <w:tmpl w:val="61AB18C8"/>
    <w:lvl w:ilvl="0" w:tentative="0">
      <w:start w:val="3"/>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JjMTJkOTAxODRlM2Y2N2Y0Y2JhNzhhNThiZjkyOTEifQ=="/>
  </w:docVars>
  <w:rsids>
    <w:rsidRoot w:val="0A94752D"/>
    <w:rsid w:val="000073C0"/>
    <w:rsid w:val="0005539B"/>
    <w:rsid w:val="000658A9"/>
    <w:rsid w:val="00065A79"/>
    <w:rsid w:val="0008386A"/>
    <w:rsid w:val="00086340"/>
    <w:rsid w:val="00090E30"/>
    <w:rsid w:val="00091CBC"/>
    <w:rsid w:val="000940D4"/>
    <w:rsid w:val="000B30BC"/>
    <w:rsid w:val="000B52E0"/>
    <w:rsid w:val="000C0F12"/>
    <w:rsid w:val="000C262F"/>
    <w:rsid w:val="000C6327"/>
    <w:rsid w:val="000D5AF5"/>
    <w:rsid w:val="001017FE"/>
    <w:rsid w:val="00107A1F"/>
    <w:rsid w:val="001229E8"/>
    <w:rsid w:val="00141C60"/>
    <w:rsid w:val="00143733"/>
    <w:rsid w:val="00147FC8"/>
    <w:rsid w:val="001544D6"/>
    <w:rsid w:val="00155B2E"/>
    <w:rsid w:val="001867C4"/>
    <w:rsid w:val="001C11DD"/>
    <w:rsid w:val="001E14F5"/>
    <w:rsid w:val="00211EE2"/>
    <w:rsid w:val="00214B8D"/>
    <w:rsid w:val="00241C2C"/>
    <w:rsid w:val="0024409F"/>
    <w:rsid w:val="00253D13"/>
    <w:rsid w:val="00264B8F"/>
    <w:rsid w:val="00265842"/>
    <w:rsid w:val="002833EA"/>
    <w:rsid w:val="0028464B"/>
    <w:rsid w:val="002959C3"/>
    <w:rsid w:val="002A087E"/>
    <w:rsid w:val="002A3861"/>
    <w:rsid w:val="002A7CE7"/>
    <w:rsid w:val="002E2059"/>
    <w:rsid w:val="002E7742"/>
    <w:rsid w:val="002F352A"/>
    <w:rsid w:val="002F7CBD"/>
    <w:rsid w:val="0030696E"/>
    <w:rsid w:val="0031564B"/>
    <w:rsid w:val="00321055"/>
    <w:rsid w:val="00324432"/>
    <w:rsid w:val="00337FDD"/>
    <w:rsid w:val="00341245"/>
    <w:rsid w:val="0035210A"/>
    <w:rsid w:val="00386324"/>
    <w:rsid w:val="00386581"/>
    <w:rsid w:val="00397137"/>
    <w:rsid w:val="003C2118"/>
    <w:rsid w:val="003C260C"/>
    <w:rsid w:val="003D25A0"/>
    <w:rsid w:val="003D336A"/>
    <w:rsid w:val="003E668F"/>
    <w:rsid w:val="004033A1"/>
    <w:rsid w:val="00405598"/>
    <w:rsid w:val="00414190"/>
    <w:rsid w:val="00445DC8"/>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1483C"/>
    <w:rsid w:val="006442D3"/>
    <w:rsid w:val="00673F73"/>
    <w:rsid w:val="00680C98"/>
    <w:rsid w:val="00680F62"/>
    <w:rsid w:val="0068398C"/>
    <w:rsid w:val="006A0317"/>
    <w:rsid w:val="006A2B17"/>
    <w:rsid w:val="006B40C9"/>
    <w:rsid w:val="006B4210"/>
    <w:rsid w:val="006C161E"/>
    <w:rsid w:val="006C318D"/>
    <w:rsid w:val="006D102F"/>
    <w:rsid w:val="006D28C5"/>
    <w:rsid w:val="006F23B5"/>
    <w:rsid w:val="00712540"/>
    <w:rsid w:val="00717E04"/>
    <w:rsid w:val="00720D2F"/>
    <w:rsid w:val="007234B4"/>
    <w:rsid w:val="0073466A"/>
    <w:rsid w:val="007402F4"/>
    <w:rsid w:val="00740527"/>
    <w:rsid w:val="0076069E"/>
    <w:rsid w:val="00774D20"/>
    <w:rsid w:val="007A56AD"/>
    <w:rsid w:val="007B58A2"/>
    <w:rsid w:val="007E2769"/>
    <w:rsid w:val="007F6055"/>
    <w:rsid w:val="007F75A1"/>
    <w:rsid w:val="00807201"/>
    <w:rsid w:val="00826629"/>
    <w:rsid w:val="008357F2"/>
    <w:rsid w:val="008439AA"/>
    <w:rsid w:val="00843D5C"/>
    <w:rsid w:val="00853C76"/>
    <w:rsid w:val="00860701"/>
    <w:rsid w:val="00871C89"/>
    <w:rsid w:val="00874608"/>
    <w:rsid w:val="00881C7C"/>
    <w:rsid w:val="00884A95"/>
    <w:rsid w:val="00897B6A"/>
    <w:rsid w:val="008A14AB"/>
    <w:rsid w:val="008C2B18"/>
    <w:rsid w:val="008F70F1"/>
    <w:rsid w:val="00904F0E"/>
    <w:rsid w:val="00906642"/>
    <w:rsid w:val="00907797"/>
    <w:rsid w:val="0091023F"/>
    <w:rsid w:val="00910869"/>
    <w:rsid w:val="009140D0"/>
    <w:rsid w:val="00931B4C"/>
    <w:rsid w:val="00936812"/>
    <w:rsid w:val="00950F3F"/>
    <w:rsid w:val="00951C29"/>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91526"/>
    <w:rsid w:val="00A92A34"/>
    <w:rsid w:val="00A9461F"/>
    <w:rsid w:val="00AC2D52"/>
    <w:rsid w:val="00AC47D1"/>
    <w:rsid w:val="00AF36EA"/>
    <w:rsid w:val="00AF4568"/>
    <w:rsid w:val="00B01FEB"/>
    <w:rsid w:val="00B06BC2"/>
    <w:rsid w:val="00B10E03"/>
    <w:rsid w:val="00B21592"/>
    <w:rsid w:val="00B24BA3"/>
    <w:rsid w:val="00B36A94"/>
    <w:rsid w:val="00B42289"/>
    <w:rsid w:val="00B429C1"/>
    <w:rsid w:val="00B45DF8"/>
    <w:rsid w:val="00B46B0F"/>
    <w:rsid w:val="00B50BEF"/>
    <w:rsid w:val="00B5102D"/>
    <w:rsid w:val="00B657F6"/>
    <w:rsid w:val="00B670C6"/>
    <w:rsid w:val="00B701B1"/>
    <w:rsid w:val="00B70AB1"/>
    <w:rsid w:val="00B75B83"/>
    <w:rsid w:val="00B93A73"/>
    <w:rsid w:val="00BA4960"/>
    <w:rsid w:val="00BB3953"/>
    <w:rsid w:val="00BF0F6B"/>
    <w:rsid w:val="00C06700"/>
    <w:rsid w:val="00C17634"/>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A2B14"/>
    <w:rsid w:val="00CC044B"/>
    <w:rsid w:val="00CC1C3B"/>
    <w:rsid w:val="00CD642F"/>
    <w:rsid w:val="00CD70A9"/>
    <w:rsid w:val="00CD7E27"/>
    <w:rsid w:val="00D0259B"/>
    <w:rsid w:val="00D0364F"/>
    <w:rsid w:val="00D23044"/>
    <w:rsid w:val="00D371B7"/>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3321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351"/>
    <w:rsid w:val="00F40B75"/>
    <w:rsid w:val="00F4215F"/>
    <w:rsid w:val="00F47DDB"/>
    <w:rsid w:val="00F70F40"/>
    <w:rsid w:val="00F75A2C"/>
    <w:rsid w:val="00F828BD"/>
    <w:rsid w:val="00F934FB"/>
    <w:rsid w:val="00F93D47"/>
    <w:rsid w:val="00FA245D"/>
    <w:rsid w:val="00FA2AA9"/>
    <w:rsid w:val="00FD0792"/>
    <w:rsid w:val="00FD2C54"/>
    <w:rsid w:val="010D51DA"/>
    <w:rsid w:val="018220D0"/>
    <w:rsid w:val="07183498"/>
    <w:rsid w:val="0A94752D"/>
    <w:rsid w:val="155B7BC3"/>
    <w:rsid w:val="1A0278E7"/>
    <w:rsid w:val="1D402AE1"/>
    <w:rsid w:val="20E60AB1"/>
    <w:rsid w:val="227B34E6"/>
    <w:rsid w:val="23AA4A9F"/>
    <w:rsid w:val="2503339F"/>
    <w:rsid w:val="259366DD"/>
    <w:rsid w:val="29975AA3"/>
    <w:rsid w:val="2E690A00"/>
    <w:rsid w:val="2E735048"/>
    <w:rsid w:val="30E76E49"/>
    <w:rsid w:val="32EF7A08"/>
    <w:rsid w:val="409910B6"/>
    <w:rsid w:val="42425F4A"/>
    <w:rsid w:val="50661AEF"/>
    <w:rsid w:val="58601141"/>
    <w:rsid w:val="6C84148C"/>
    <w:rsid w:val="705F6A37"/>
    <w:rsid w:val="7244657F"/>
    <w:rsid w:val="72C94629"/>
    <w:rsid w:val="7A4E463B"/>
    <w:rsid w:val="7BE651C7"/>
    <w:rsid w:val="7ECF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3"/>
    <w:basedOn w:val="1"/>
    <w:next w:val="1"/>
    <w:qFormat/>
    <w:uiPriority w:val="9"/>
    <w:pPr>
      <w:widowControl w:val="0"/>
      <w:tabs>
        <w:tab w:val="left" w:pos="3731"/>
      </w:tabs>
      <w:spacing w:line="360" w:lineRule="auto"/>
      <w:ind w:left="3731" w:hanging="851"/>
      <w:jc w:val="both"/>
      <w:outlineLvl w:val="2"/>
    </w:pPr>
    <w:rPr>
      <w:rFonts w:ascii="宋体"/>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widowControl w:val="0"/>
    </w:pPr>
    <w:rPr>
      <w:kern w:val="2"/>
    </w:rPr>
  </w:style>
  <w:style w:type="paragraph" w:styleId="4">
    <w:name w:val="Body Text"/>
    <w:basedOn w:val="1"/>
    <w:autoRedefine/>
    <w:unhideWhenUsed/>
    <w:uiPriority w:val="99"/>
    <w:pPr>
      <w:spacing w:line="360" w:lineRule="auto"/>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pPr>
    <w:rPr>
      <w:sz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autoRedefine/>
    <w:unhideWhenUsed/>
    <w:qFormat/>
    <w:uiPriority w:val="39"/>
    <w:pPr>
      <w:tabs>
        <w:tab w:val="left" w:pos="1080"/>
      </w:tabs>
      <w:spacing w:before="120" w:after="120"/>
      <w:ind w:left="899" w:leftChars="428"/>
      <w:jc w:val="both"/>
    </w:pPr>
    <w:rPr>
      <w:rFonts w:ascii="宋体"/>
      <w:b/>
      <w:bCs/>
      <w:szCs w:val="21"/>
    </w:rPr>
  </w:style>
  <w:style w:type="paragraph" w:styleId="9">
    <w:name w:val="Body Text Indent 3"/>
    <w:basedOn w:val="1"/>
    <w:autoRedefine/>
    <w:unhideWhenUsed/>
    <w:qFormat/>
    <w:uiPriority w:val="99"/>
    <w:pPr>
      <w:spacing w:line="360" w:lineRule="auto"/>
      <w:ind w:firstLine="783" w:firstLineChars="373"/>
    </w:pPr>
    <w:rPr>
      <w:rFonts w:hAnsi="宋体"/>
    </w:rPr>
  </w:style>
  <w:style w:type="paragraph" w:styleId="10">
    <w:name w:val="Normal (Web)"/>
    <w:basedOn w:val="1"/>
    <w:autoRedefine/>
    <w:qFormat/>
    <w:uiPriority w:val="0"/>
    <w:pPr>
      <w:spacing w:before="100" w:beforeAutospacing="1" w:after="100" w:afterAutospacing="1"/>
    </w:pPr>
    <w:rPr>
      <w:rFonts w:ascii="宋体" w:hAnsi="宋体" w:cs="宋体"/>
      <w:sz w:val="24"/>
      <w:szCs w:val="24"/>
    </w:rPr>
  </w:style>
  <w:style w:type="character" w:styleId="13">
    <w:name w:val="Strong"/>
    <w:basedOn w:val="12"/>
    <w:qFormat/>
    <w:uiPriority w:val="22"/>
    <w:rPr>
      <w:b/>
    </w:rPr>
  </w:style>
  <w:style w:type="character" w:styleId="14">
    <w:name w:val="page number"/>
    <w:basedOn w:val="12"/>
    <w:autoRedefine/>
    <w:unhideWhenUsed/>
    <w:qFormat/>
    <w:uiPriority w:val="99"/>
  </w:style>
  <w:style w:type="paragraph" w:customStyle="1" w:styleId="15">
    <w:name w:val="_Style 1"/>
    <w:basedOn w:val="1"/>
    <w:autoRedefine/>
    <w:qFormat/>
    <w:uiPriority w:val="0"/>
    <w:pPr>
      <w:spacing w:after="160" w:line="240" w:lineRule="exact"/>
    </w:pPr>
    <w:rPr>
      <w:rFonts w:ascii="Verdana" w:hAnsi="Verdana" w:eastAsia="仿宋_GB2312"/>
      <w:sz w:val="24"/>
      <w:lang w:eastAsia="en-US"/>
    </w:rPr>
  </w:style>
  <w:style w:type="character" w:customStyle="1" w:styleId="16">
    <w:name w:val="页脚 Char"/>
    <w:link w:val="6"/>
    <w:autoRedefine/>
    <w:qFormat/>
    <w:locked/>
    <w:uiPriority w:val="99"/>
    <w:rPr>
      <w:sz w:val="18"/>
    </w:rPr>
  </w:style>
  <w:style w:type="character" w:customStyle="1" w:styleId="17">
    <w:name w:val="页眉 Char"/>
    <w:link w:val="7"/>
    <w:autoRedefine/>
    <w:qFormat/>
    <w:uiPriority w:val="99"/>
    <w:rPr>
      <w:sz w:val="18"/>
    </w:rPr>
  </w:style>
  <w:style w:type="character" w:customStyle="1" w:styleId="18">
    <w:name w:val="批注框文本 Char"/>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580</Words>
  <Characters>3309</Characters>
  <Lines>27</Lines>
  <Paragraphs>7</Paragraphs>
  <TotalTime>0</TotalTime>
  <ScaleCrop>false</ScaleCrop>
  <LinksUpToDate>false</LinksUpToDate>
  <CharactersWithSpaces>3882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2010-02-15T17:56:00Z</dcterms:created>
  <dc:creator>设备部</dc:creator>
  <cp:lastModifiedBy>_Soso</cp:lastModifiedBy>
  <cp:lastPrinted>2023-12-27T01:39:00Z</cp:lastPrinted>
  <dcterms:modified xsi:type="dcterms:W3CDTF">2023-12-29T02:48:46Z</dcterms:modified>
  <dc:title>广州白云山明兴制药有限公司</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FF1D0ACC46FC41E8AE669D8E7723EB85_12</vt:lpwstr>
  </property>
</Properties>
</file>