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450905282"/>
      <w:bookmarkStart w:id="1" w:name="_Toc340348721"/>
      <w:bookmarkStart w:id="2" w:name="_Toc302564004"/>
      <w:bookmarkStart w:id="3" w:name="_Toc288827310"/>
      <w:bookmarkStart w:id="4" w:name="_Toc28115"/>
      <w:bookmarkStart w:id="5" w:name="_Toc28454"/>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rPr>
      </w:pPr>
      <w:r>
        <w:rPr>
          <w:b/>
          <w:sz w:val="36"/>
          <w:szCs w:val="36"/>
        </w:rPr>
        <w:pict>
          <v:line id="直接连接符 6" o:spid="_x0000_s2070" o:spt="20" style="position:absolute;left:0pt;margin-left:103.9pt;margin-top:39pt;height:0.05pt;width:30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v:path arrowok="t"/>
            <v:fill focussize="0,0"/>
            <v:stroke/>
            <v:imagedata o:title=""/>
            <o:lock v:ext="edit"/>
          </v:line>
        </w:pict>
      </w:r>
      <w:r>
        <w:rPr>
          <w:rFonts w:hint="eastAsia"/>
          <w:b/>
          <w:sz w:val="36"/>
          <w:szCs w:val="36"/>
        </w:rPr>
        <w:t>项目名称：白云厂区办公大楼电缆及控制柜购置</w:t>
      </w:r>
    </w:p>
    <w:p>
      <w:pPr>
        <w:widowControl/>
        <w:jc w:val="left"/>
        <w:rPr>
          <w:rFonts w:ascii="宋体" w:hAnsi="宋体"/>
          <w:b/>
          <w:sz w:val="28"/>
          <w:szCs w:val="28"/>
        </w:rPr>
      </w:pPr>
      <w:r>
        <w:rPr>
          <w:rFonts w:ascii="宋体" w:hAnsi="宋体"/>
          <w:b/>
          <w:sz w:val="28"/>
          <w:szCs w:val="28"/>
        </w:rPr>
        <w:br w:type="page"/>
      </w: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7"/>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电缆及控制柜购置的用户需求标准，为供应商设计、制造符合我司要求的电缆提供依据，也为我司采购、验收和后期的确认提供依据。同时，此份URS也将作为供需双方签订采购合同中的重要组成部分。</w:t>
      </w:r>
    </w:p>
    <w:p>
      <w:pPr>
        <w:pStyle w:val="17"/>
        <w:spacing w:line="360" w:lineRule="auto"/>
        <w:ind w:firstLine="480"/>
        <w:rPr>
          <w:rFonts w:ascii="宋体" w:cs="宋体"/>
          <w:kern w:val="0"/>
          <w:sz w:val="24"/>
          <w:szCs w:val="24"/>
        </w:rPr>
      </w:pPr>
      <w:r>
        <w:rPr>
          <w:rFonts w:hint="eastAsia" w:ascii="宋体" w:cs="宋体"/>
          <w:kern w:val="0"/>
          <w:sz w:val="24"/>
          <w:szCs w:val="24"/>
        </w:rPr>
        <w:t>本份用户需求书详细描述了电缆及控制柜的用途介绍和基本需求，包括：技术要求</w:t>
      </w:r>
      <w:r>
        <w:rPr>
          <w:rFonts w:hint="eastAsia" w:ascii="宋体" w:hAnsi="宋体" w:cs="Arial"/>
          <w:sz w:val="24"/>
          <w:szCs w:val="24"/>
          <w:lang w:val="en-GB"/>
        </w:rPr>
        <w:t>、文件要求、相关服务要求等。</w:t>
      </w:r>
      <w:r>
        <w:rPr>
          <w:rFonts w:hint="eastAsia" w:ascii="宋体" w:hAnsi="宋体" w:cs="Arial"/>
          <w:sz w:val="24"/>
          <w:szCs w:val="24"/>
          <w:lang w:val="en-US"/>
        </w:rPr>
        <w:t>供应商应严格按照URS中所明确的法规标准、技术和服务要求，提供相应的设施和服务。</w:t>
      </w:r>
    </w:p>
    <w:p>
      <w:pPr>
        <w:pStyle w:val="3"/>
        <w:tabs>
          <w:tab w:val="left" w:pos="720"/>
        </w:tabs>
        <w:spacing w:before="120" w:after="120" w:line="360" w:lineRule="auto"/>
        <w:jc w:val="left"/>
        <w:rPr>
          <w:rFonts w:ascii="宋体" w:cs="宋体"/>
          <w:szCs w:val="24"/>
          <w:lang w:val="zh-CN"/>
        </w:rPr>
      </w:pPr>
      <w:bookmarkStart w:id="6" w:name="_Toc29168"/>
      <w:bookmarkStart w:id="7" w:name="_Toc424287330"/>
      <w:bookmarkStart w:id="8" w:name="_Toc424286424"/>
      <w:bookmarkStart w:id="9" w:name="_Toc14260"/>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1"/>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6284" w:type="dxa"/>
            <w:vAlign w:val="center"/>
          </w:tcPr>
          <w:p>
            <w:pPr>
              <w:jc w:val="center"/>
              <w:rPr>
                <w:rFonts w:ascii="宋体" w:hAnsi="宋体" w:cs="宋体"/>
                <w:b/>
                <w:bCs/>
                <w:color w:val="000000"/>
                <w:sz w:val="24"/>
              </w:rPr>
            </w:pPr>
            <w:r>
              <w:rPr>
                <w:rFonts w:hint="eastAsia" w:ascii="宋体" w:hAnsi="宋体" w:cs="宋体"/>
                <w:b/>
                <w:bCs/>
                <w:color w:val="000000"/>
                <w:sz w:val="24"/>
              </w:rPr>
              <w:t>招标范围及内容</w:t>
            </w:r>
          </w:p>
        </w:tc>
        <w:tc>
          <w:tcPr>
            <w:tcW w:w="1495" w:type="dxa"/>
            <w:vAlign w:val="center"/>
          </w:tcPr>
          <w:p>
            <w:pPr>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w:t>
            </w:r>
          </w:p>
        </w:tc>
        <w:tc>
          <w:tcPr>
            <w:tcW w:w="6284" w:type="dxa"/>
            <w:vAlign w:val="center"/>
          </w:tcPr>
          <w:p>
            <w:pPr>
              <w:jc w:val="center"/>
              <w:rPr>
                <w:rFonts w:ascii="宋体" w:hAnsi="宋体" w:cs="宋体"/>
                <w:color w:val="000000"/>
                <w:sz w:val="24"/>
              </w:rPr>
            </w:pPr>
            <w:r>
              <w:rPr>
                <w:rFonts w:hint="eastAsia" w:ascii="宋体" w:hAnsi="宋体"/>
                <w:sz w:val="24"/>
                <w:szCs w:val="24"/>
              </w:rPr>
              <w:t>电缆3*25+2*16平方（76米）</w:t>
            </w:r>
          </w:p>
        </w:tc>
        <w:tc>
          <w:tcPr>
            <w:tcW w:w="1495" w:type="dxa"/>
          </w:tcPr>
          <w:p>
            <w:pPr>
              <w:jc w:val="center"/>
              <w:rPr>
                <w:rFonts w:ascii="宋体" w:hAnsi="宋体" w:cs="宋体"/>
                <w:color w:val="000000"/>
                <w:sz w:val="24"/>
              </w:rPr>
            </w:pPr>
            <w:r>
              <w:rPr>
                <w:rFonts w:hint="eastAsia" w:ascii="宋体" w:hAnsi="宋体" w:cs="宋体"/>
                <w:color w:val="000000"/>
                <w:sz w:val="24"/>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2</w:t>
            </w:r>
          </w:p>
        </w:tc>
        <w:tc>
          <w:tcPr>
            <w:tcW w:w="6284" w:type="dxa"/>
            <w:vAlign w:val="center"/>
          </w:tcPr>
          <w:p>
            <w:pPr>
              <w:jc w:val="center"/>
              <w:rPr>
                <w:rFonts w:ascii="宋体" w:hAnsi="宋体" w:cs="宋体"/>
                <w:color w:val="000000"/>
                <w:sz w:val="24"/>
              </w:rPr>
            </w:pPr>
            <w:r>
              <w:rPr>
                <w:rFonts w:hint="eastAsia" w:ascii="宋体" w:hAnsi="宋体"/>
                <w:sz w:val="24"/>
                <w:szCs w:val="24"/>
              </w:rPr>
              <w:t>电缆3*95+2*50平方（21米）</w:t>
            </w:r>
          </w:p>
        </w:tc>
        <w:tc>
          <w:tcPr>
            <w:tcW w:w="1495" w:type="dxa"/>
          </w:tcPr>
          <w:p>
            <w:pPr>
              <w:jc w:val="center"/>
              <w:rPr>
                <w:rFonts w:ascii="宋体" w:hAnsi="宋体" w:cs="宋体"/>
                <w:color w:val="000000"/>
                <w:sz w:val="24"/>
              </w:rPr>
            </w:pPr>
            <w:r>
              <w:rPr>
                <w:rFonts w:hint="eastAsia" w:ascii="宋体" w:hAnsi="宋体" w:cs="宋体"/>
                <w:color w:val="000000"/>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3</w:t>
            </w:r>
          </w:p>
        </w:tc>
        <w:tc>
          <w:tcPr>
            <w:tcW w:w="6284" w:type="dxa"/>
            <w:vAlign w:val="center"/>
          </w:tcPr>
          <w:p>
            <w:pPr>
              <w:jc w:val="center"/>
              <w:rPr>
                <w:rFonts w:ascii="宋体" w:hAnsi="宋体"/>
                <w:sz w:val="24"/>
                <w:szCs w:val="24"/>
              </w:rPr>
            </w:pPr>
            <w:r>
              <w:rPr>
                <w:rFonts w:hint="eastAsia" w:ascii="宋体" w:hAnsi="宋体"/>
                <w:sz w:val="24"/>
                <w:szCs w:val="24"/>
              </w:rPr>
              <w:t>3AC1单电源入户电缆3*25+2*16平方（84米）</w:t>
            </w:r>
          </w:p>
        </w:tc>
        <w:tc>
          <w:tcPr>
            <w:tcW w:w="1495" w:type="dxa"/>
          </w:tcPr>
          <w:p>
            <w:pPr>
              <w:jc w:val="center"/>
              <w:rPr>
                <w:rFonts w:ascii="宋体" w:hAnsi="宋体" w:cs="宋体"/>
                <w:color w:val="000000"/>
                <w:sz w:val="24"/>
              </w:rPr>
            </w:pPr>
            <w:r>
              <w:rPr>
                <w:rFonts w:hint="eastAsia" w:ascii="宋体" w:hAnsi="宋体" w:cs="宋体"/>
                <w:color w:val="000000"/>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4</w:t>
            </w:r>
          </w:p>
        </w:tc>
        <w:tc>
          <w:tcPr>
            <w:tcW w:w="6284" w:type="dxa"/>
            <w:vAlign w:val="center"/>
          </w:tcPr>
          <w:p>
            <w:pPr>
              <w:jc w:val="center"/>
              <w:rPr>
                <w:rFonts w:ascii="宋体" w:hAnsi="宋体"/>
                <w:sz w:val="24"/>
                <w:szCs w:val="24"/>
              </w:rPr>
            </w:pPr>
            <w:r>
              <w:rPr>
                <w:rFonts w:hint="eastAsia" w:ascii="宋体" w:hAnsi="宋体"/>
                <w:sz w:val="24"/>
                <w:szCs w:val="24"/>
              </w:rPr>
              <w:t>3KAC1单电源入户电缆5*16平方（84米）</w:t>
            </w:r>
          </w:p>
        </w:tc>
        <w:tc>
          <w:tcPr>
            <w:tcW w:w="1495" w:type="dxa"/>
          </w:tcPr>
          <w:p>
            <w:pPr>
              <w:jc w:val="center"/>
              <w:rPr>
                <w:rFonts w:ascii="宋体" w:hAnsi="宋体" w:cs="宋体"/>
                <w:color w:val="000000"/>
                <w:sz w:val="24"/>
              </w:rPr>
            </w:pPr>
            <w:r>
              <w:rPr>
                <w:rFonts w:hint="eastAsia" w:ascii="宋体" w:hAnsi="宋体" w:cs="宋体"/>
                <w:color w:val="000000"/>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5</w:t>
            </w:r>
          </w:p>
        </w:tc>
        <w:tc>
          <w:tcPr>
            <w:tcW w:w="6284" w:type="dxa"/>
            <w:vAlign w:val="center"/>
          </w:tcPr>
          <w:p>
            <w:pPr>
              <w:jc w:val="center"/>
              <w:rPr>
                <w:rFonts w:ascii="宋体" w:hAnsi="宋体"/>
                <w:sz w:val="24"/>
                <w:szCs w:val="24"/>
              </w:rPr>
            </w:pPr>
            <w:r>
              <w:rPr>
                <w:rFonts w:hint="eastAsia" w:ascii="宋体" w:hAnsi="宋体"/>
                <w:sz w:val="24"/>
                <w:szCs w:val="24"/>
              </w:rPr>
              <w:t>3AP1单电源入户电缆3*70+2*35平方（84米）</w:t>
            </w:r>
          </w:p>
        </w:tc>
        <w:tc>
          <w:tcPr>
            <w:tcW w:w="1495" w:type="dxa"/>
          </w:tcPr>
          <w:p>
            <w:pPr>
              <w:jc w:val="center"/>
              <w:rPr>
                <w:rFonts w:ascii="宋体" w:hAnsi="宋体" w:cs="宋体"/>
                <w:color w:val="000000"/>
                <w:sz w:val="24"/>
              </w:rPr>
            </w:pPr>
            <w:r>
              <w:rPr>
                <w:rFonts w:hint="eastAsia" w:ascii="宋体" w:hAnsi="宋体" w:cs="宋体"/>
                <w:color w:val="000000"/>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6</w:t>
            </w:r>
          </w:p>
        </w:tc>
        <w:tc>
          <w:tcPr>
            <w:tcW w:w="6284" w:type="dxa"/>
            <w:vAlign w:val="center"/>
          </w:tcPr>
          <w:p>
            <w:pPr>
              <w:jc w:val="center"/>
              <w:rPr>
                <w:rFonts w:ascii="宋体" w:hAnsi="宋体"/>
                <w:sz w:val="24"/>
                <w:szCs w:val="24"/>
              </w:rPr>
            </w:pPr>
            <w:r>
              <w:rPr>
                <w:rFonts w:hint="eastAsia" w:ascii="宋体" w:hAnsi="宋体"/>
                <w:sz w:val="24"/>
                <w:szCs w:val="24"/>
              </w:rPr>
              <w:t>10AT1箱常用备用双电源入户5*16平方（164米）</w:t>
            </w:r>
          </w:p>
        </w:tc>
        <w:tc>
          <w:tcPr>
            <w:tcW w:w="1495" w:type="dxa"/>
          </w:tcPr>
          <w:p>
            <w:pPr>
              <w:jc w:val="center"/>
              <w:rPr>
                <w:rFonts w:ascii="宋体" w:hAnsi="宋体" w:cs="宋体"/>
                <w:color w:val="000000"/>
                <w:sz w:val="24"/>
              </w:rPr>
            </w:pPr>
            <w:r>
              <w:rPr>
                <w:rFonts w:hint="eastAsia" w:ascii="宋体" w:hAnsi="宋体" w:cs="宋体"/>
                <w:color w:val="000000"/>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7</w:t>
            </w:r>
          </w:p>
        </w:tc>
        <w:tc>
          <w:tcPr>
            <w:tcW w:w="6284" w:type="dxa"/>
            <w:vAlign w:val="center"/>
          </w:tcPr>
          <w:p>
            <w:pPr>
              <w:jc w:val="center"/>
              <w:rPr>
                <w:rFonts w:ascii="宋体" w:hAnsi="宋体"/>
                <w:sz w:val="24"/>
                <w:szCs w:val="24"/>
              </w:rPr>
            </w:pPr>
            <w:r>
              <w:rPr>
                <w:rFonts w:hint="eastAsia" w:ascii="宋体" w:hAnsi="宋体"/>
                <w:sz w:val="24"/>
                <w:szCs w:val="24"/>
              </w:rPr>
              <w:t>10AT2箱常用备用双电源入户4*50+1*25平方（164米）</w:t>
            </w:r>
          </w:p>
        </w:tc>
        <w:tc>
          <w:tcPr>
            <w:tcW w:w="1495" w:type="dxa"/>
          </w:tcPr>
          <w:p>
            <w:pPr>
              <w:jc w:val="center"/>
              <w:rPr>
                <w:rFonts w:ascii="宋体" w:hAnsi="宋体" w:cs="宋体"/>
                <w:color w:val="000000"/>
                <w:sz w:val="24"/>
              </w:rPr>
            </w:pPr>
            <w:r>
              <w:rPr>
                <w:rFonts w:hint="eastAsia" w:ascii="宋体" w:hAnsi="宋体" w:cs="宋体"/>
                <w:color w:val="000000"/>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8</w:t>
            </w:r>
          </w:p>
        </w:tc>
        <w:tc>
          <w:tcPr>
            <w:tcW w:w="6284" w:type="dxa"/>
            <w:vAlign w:val="center"/>
          </w:tcPr>
          <w:p>
            <w:pPr>
              <w:jc w:val="center"/>
              <w:rPr>
                <w:rFonts w:ascii="宋体" w:hAnsi="宋体"/>
                <w:sz w:val="24"/>
                <w:szCs w:val="24"/>
              </w:rPr>
            </w:pPr>
            <w:r>
              <w:rPr>
                <w:rFonts w:hint="eastAsia" w:ascii="宋体" w:hAnsi="宋体"/>
                <w:sz w:val="24"/>
                <w:szCs w:val="24"/>
              </w:rPr>
              <w:t>10AT3箱常用备用双电源入户4*25+1*16平方（156米）</w:t>
            </w:r>
          </w:p>
        </w:tc>
        <w:tc>
          <w:tcPr>
            <w:tcW w:w="1495" w:type="dxa"/>
          </w:tcPr>
          <w:p>
            <w:pPr>
              <w:jc w:val="center"/>
              <w:rPr>
                <w:rFonts w:ascii="宋体" w:hAnsi="宋体" w:cs="宋体"/>
                <w:color w:val="000000"/>
                <w:sz w:val="24"/>
              </w:rPr>
            </w:pPr>
            <w:r>
              <w:rPr>
                <w:rFonts w:hint="eastAsia" w:ascii="宋体" w:hAnsi="宋体" w:cs="宋体"/>
                <w:color w:val="000000"/>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9</w:t>
            </w:r>
          </w:p>
        </w:tc>
        <w:tc>
          <w:tcPr>
            <w:tcW w:w="6284" w:type="dxa"/>
            <w:vAlign w:val="center"/>
          </w:tcPr>
          <w:p>
            <w:pPr>
              <w:jc w:val="center"/>
              <w:rPr>
                <w:rFonts w:ascii="宋体" w:hAnsi="宋体"/>
                <w:sz w:val="24"/>
                <w:szCs w:val="24"/>
              </w:rPr>
            </w:pPr>
            <w:r>
              <w:rPr>
                <w:rFonts w:hint="eastAsia" w:ascii="宋体" w:hAnsi="宋体"/>
                <w:sz w:val="24"/>
                <w:szCs w:val="24"/>
              </w:rPr>
              <w:t>10AT4箱常用备用双电源入户5*6平方（144米）</w:t>
            </w:r>
          </w:p>
        </w:tc>
        <w:tc>
          <w:tcPr>
            <w:tcW w:w="1495" w:type="dxa"/>
          </w:tcPr>
          <w:p>
            <w:pPr>
              <w:jc w:val="center"/>
              <w:rPr>
                <w:rFonts w:ascii="宋体" w:hAnsi="宋体" w:cs="宋体"/>
                <w:color w:val="000000"/>
                <w:sz w:val="24"/>
              </w:rPr>
            </w:pPr>
            <w:r>
              <w:rPr>
                <w:rFonts w:hint="eastAsia" w:ascii="宋体" w:hAnsi="宋体" w:cs="宋体"/>
                <w:color w:val="000000"/>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10</w:t>
            </w:r>
          </w:p>
        </w:tc>
        <w:tc>
          <w:tcPr>
            <w:tcW w:w="6284" w:type="dxa"/>
            <w:vAlign w:val="center"/>
          </w:tcPr>
          <w:p>
            <w:pPr>
              <w:jc w:val="center"/>
              <w:rPr>
                <w:rFonts w:ascii="宋体" w:hAnsi="宋体"/>
                <w:sz w:val="24"/>
                <w:szCs w:val="24"/>
              </w:rPr>
            </w:pPr>
            <w:r>
              <w:rPr>
                <w:rFonts w:hint="eastAsia" w:ascii="宋体" w:hAnsi="宋体"/>
                <w:sz w:val="24"/>
                <w:szCs w:val="24"/>
              </w:rPr>
              <w:t>控制柜800*600*250</w:t>
            </w:r>
          </w:p>
        </w:tc>
        <w:tc>
          <w:tcPr>
            <w:tcW w:w="1495" w:type="dxa"/>
          </w:tcPr>
          <w:p>
            <w:pPr>
              <w:jc w:val="center"/>
              <w:rPr>
                <w:rFonts w:ascii="宋体" w:hAnsi="宋体" w:cs="宋体"/>
                <w:color w:val="000000"/>
                <w:sz w:val="24"/>
              </w:rPr>
            </w:pPr>
            <w:r>
              <w:rPr>
                <w:rFonts w:hint="eastAsia" w:ascii="宋体" w:hAnsi="宋体" w:cs="宋体"/>
                <w:color w:val="00000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11</w:t>
            </w:r>
          </w:p>
        </w:tc>
        <w:tc>
          <w:tcPr>
            <w:tcW w:w="6284" w:type="dxa"/>
            <w:vAlign w:val="center"/>
          </w:tcPr>
          <w:p>
            <w:pPr>
              <w:jc w:val="center"/>
              <w:rPr>
                <w:rFonts w:ascii="宋体" w:hAnsi="宋体"/>
                <w:sz w:val="24"/>
                <w:szCs w:val="24"/>
              </w:rPr>
            </w:pPr>
            <w:r>
              <w:rPr>
                <w:rFonts w:hint="eastAsia" w:ascii="宋体" w:hAnsi="宋体"/>
                <w:sz w:val="24"/>
                <w:szCs w:val="24"/>
              </w:rPr>
              <w:t>控制柜600*800*250-10AT1（详情见设计图）</w:t>
            </w:r>
          </w:p>
        </w:tc>
        <w:tc>
          <w:tcPr>
            <w:tcW w:w="1495" w:type="dxa"/>
          </w:tcPr>
          <w:p>
            <w:pPr>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12</w:t>
            </w:r>
          </w:p>
        </w:tc>
        <w:tc>
          <w:tcPr>
            <w:tcW w:w="6284" w:type="dxa"/>
            <w:vAlign w:val="center"/>
          </w:tcPr>
          <w:p>
            <w:pPr>
              <w:jc w:val="center"/>
              <w:rPr>
                <w:rFonts w:ascii="宋体" w:hAnsi="宋体"/>
                <w:sz w:val="24"/>
                <w:szCs w:val="24"/>
              </w:rPr>
            </w:pPr>
            <w:r>
              <w:rPr>
                <w:rFonts w:hint="eastAsia" w:ascii="宋体" w:hAnsi="宋体"/>
                <w:sz w:val="24"/>
                <w:szCs w:val="24"/>
              </w:rPr>
              <w:t>控制柜800*1000*250-10AT2（详情见设计图）</w:t>
            </w:r>
          </w:p>
        </w:tc>
        <w:tc>
          <w:tcPr>
            <w:tcW w:w="1495" w:type="dxa"/>
          </w:tcPr>
          <w:p>
            <w:pPr>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13</w:t>
            </w:r>
          </w:p>
        </w:tc>
        <w:tc>
          <w:tcPr>
            <w:tcW w:w="6284" w:type="dxa"/>
            <w:vAlign w:val="center"/>
          </w:tcPr>
          <w:p>
            <w:pPr>
              <w:jc w:val="center"/>
              <w:rPr>
                <w:rFonts w:ascii="宋体" w:hAnsi="宋体"/>
                <w:sz w:val="24"/>
                <w:szCs w:val="24"/>
              </w:rPr>
            </w:pPr>
            <w:r>
              <w:rPr>
                <w:rFonts w:hint="eastAsia" w:ascii="宋体" w:hAnsi="宋体"/>
                <w:sz w:val="24"/>
                <w:szCs w:val="24"/>
              </w:rPr>
              <w:t>控制柜800*1000*250-10AT3（详情见设计图）</w:t>
            </w:r>
          </w:p>
        </w:tc>
        <w:tc>
          <w:tcPr>
            <w:tcW w:w="1495" w:type="dxa"/>
          </w:tcPr>
          <w:p>
            <w:pPr>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14</w:t>
            </w:r>
          </w:p>
        </w:tc>
        <w:tc>
          <w:tcPr>
            <w:tcW w:w="6284" w:type="dxa"/>
            <w:vAlign w:val="center"/>
          </w:tcPr>
          <w:p>
            <w:pPr>
              <w:jc w:val="center"/>
              <w:rPr>
                <w:rFonts w:ascii="宋体" w:hAnsi="宋体"/>
                <w:sz w:val="24"/>
                <w:szCs w:val="24"/>
              </w:rPr>
            </w:pPr>
            <w:r>
              <w:rPr>
                <w:rFonts w:hint="eastAsia" w:ascii="宋体" w:hAnsi="宋体"/>
                <w:sz w:val="24"/>
                <w:szCs w:val="24"/>
              </w:rPr>
              <w:t>控制柜700*800*250-10AT4（详情见设计图）</w:t>
            </w:r>
          </w:p>
        </w:tc>
        <w:tc>
          <w:tcPr>
            <w:tcW w:w="1495" w:type="dxa"/>
          </w:tcPr>
          <w:p>
            <w:pPr>
              <w:jc w:val="center"/>
              <w:rPr>
                <w:rFonts w:ascii="宋体" w:hAnsi="宋体" w:cs="宋体"/>
                <w:color w:val="000000"/>
                <w:sz w:val="24"/>
              </w:rPr>
            </w:pPr>
            <w:r>
              <w:rPr>
                <w:rFonts w:hint="eastAsia" w:ascii="宋体" w:hAnsi="宋体" w:cs="宋体"/>
                <w:color w:val="000000"/>
                <w:sz w:val="24"/>
              </w:rPr>
              <w:t>1台</w:t>
            </w:r>
          </w:p>
        </w:tc>
      </w:tr>
    </w:tbl>
    <w:p>
      <w:pPr>
        <w:pStyle w:val="3"/>
        <w:tabs>
          <w:tab w:val="left" w:pos="720"/>
        </w:tabs>
        <w:spacing w:before="120" w:after="120" w:line="360" w:lineRule="auto"/>
        <w:jc w:val="left"/>
        <w:rPr>
          <w:rFonts w:ascii="宋体" w:hAnsi="宋体" w:eastAsia="宋体"/>
          <w:szCs w:val="24"/>
          <w:lang w:eastAsia="zh-CN"/>
        </w:rPr>
      </w:pPr>
      <w:bookmarkStart w:id="10" w:name="_Toc26762"/>
      <w:bookmarkStart w:id="11" w:name="_Toc5995"/>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供应商在设计、制造本次电缆的过程中，必须符合相关法规和行业标准等要求，主要包括：</w:t>
      </w:r>
      <w:r>
        <w:rPr>
          <w:rFonts w:ascii="宋体" w:hAnsi="宋体" w:cs="Arial"/>
          <w:bCs/>
          <w:sz w:val="24"/>
          <w:szCs w:val="24"/>
        </w:rPr>
        <w:t>本设备的设计、制造、检验、测试和包装等，应符合但不局限于下列的有关标准和规范：</w:t>
      </w:r>
    </w:p>
    <w:bookmarkEnd w:id="12"/>
    <w:p>
      <w:pPr>
        <w:numPr>
          <w:ilvl w:val="2"/>
          <w:numId w:val="1"/>
        </w:numPr>
        <w:spacing w:line="360" w:lineRule="auto"/>
        <w:rPr>
          <w:rFonts w:ascii="宋体" w:hAnsi="宋体"/>
          <w:sz w:val="24"/>
          <w:szCs w:val="24"/>
        </w:rPr>
      </w:pPr>
      <w:bookmarkStart w:id="13" w:name="_Toc35746522"/>
      <w:bookmarkEnd w:id="13"/>
      <w:bookmarkStart w:id="14" w:name="_Toc35764266"/>
      <w:bookmarkEnd w:id="14"/>
      <w:bookmarkStart w:id="15" w:name="_Toc35745966"/>
      <w:bookmarkEnd w:id="15"/>
      <w:bookmarkStart w:id="16" w:name="_Toc35744288"/>
      <w:bookmarkEnd w:id="16"/>
      <w:bookmarkStart w:id="17" w:name="_Toc14843"/>
      <w:bookmarkStart w:id="18" w:name="_Toc24693"/>
      <w:bookmarkStart w:id="19" w:name="_Toc450905288"/>
      <w:bookmarkStart w:id="20" w:name="_Toc340348727"/>
      <w:r>
        <w:rPr>
          <w:rFonts w:hint="eastAsia" w:ascii="宋体" w:hAnsi="宋体"/>
          <w:sz w:val="24"/>
          <w:szCs w:val="24"/>
        </w:rPr>
        <w:t>《阻燃和耐火电线电缆通则》GB/T19666-2005</w:t>
      </w:r>
    </w:p>
    <w:p>
      <w:pPr>
        <w:numPr>
          <w:ilvl w:val="2"/>
          <w:numId w:val="1"/>
        </w:numPr>
        <w:spacing w:line="360" w:lineRule="auto"/>
        <w:rPr>
          <w:rFonts w:ascii="宋体" w:hAnsi="宋体"/>
          <w:sz w:val="24"/>
          <w:szCs w:val="24"/>
        </w:rPr>
      </w:pPr>
      <w:r>
        <w:rPr>
          <w:rFonts w:hint="eastAsia" w:ascii="宋体" w:hAnsi="宋体"/>
          <w:sz w:val="24"/>
          <w:szCs w:val="24"/>
        </w:rPr>
        <w:t>《电缆及光缆燃烧性能分级》GB31247-2014</w:t>
      </w:r>
    </w:p>
    <w:p>
      <w:pPr>
        <w:numPr>
          <w:ilvl w:val="2"/>
          <w:numId w:val="2"/>
        </w:numPr>
        <w:tabs>
          <w:tab w:val="left" w:pos="513"/>
        </w:tabs>
        <w:spacing w:line="360" w:lineRule="auto"/>
        <w:rPr>
          <w:rFonts w:ascii="宋体" w:hAnsi="宋体"/>
          <w:sz w:val="24"/>
          <w:szCs w:val="24"/>
          <w:lang w:val="en-GB"/>
        </w:rPr>
      </w:pPr>
      <w:r>
        <w:rPr>
          <w:rFonts w:hint="eastAsia" w:ascii="宋体" w:hAnsi="宋体"/>
          <w:sz w:val="24"/>
          <w:szCs w:val="24"/>
          <w:lang w:val="en-GB"/>
        </w:rPr>
        <w:t>《电缆外护层》GB/T2952.1～5-2008</w:t>
      </w:r>
    </w:p>
    <w:p>
      <w:pPr>
        <w:numPr>
          <w:ilvl w:val="2"/>
          <w:numId w:val="2"/>
        </w:numPr>
        <w:tabs>
          <w:tab w:val="left" w:pos="513"/>
        </w:tabs>
        <w:spacing w:line="360" w:lineRule="auto"/>
        <w:rPr>
          <w:rFonts w:ascii="宋体" w:hAnsi="宋体"/>
          <w:sz w:val="24"/>
          <w:szCs w:val="24"/>
          <w:lang w:val="en-GB"/>
        </w:rPr>
      </w:pPr>
      <w:r>
        <w:rPr>
          <w:rFonts w:hint="eastAsia" w:ascii="宋体" w:hAnsi="宋体"/>
          <w:sz w:val="24"/>
          <w:szCs w:val="24"/>
          <w:lang w:val="en-GB"/>
        </w:rPr>
        <w:t>《电线电缆电性能试验方法》GB/T3048.1～16-2007</w:t>
      </w:r>
    </w:p>
    <w:p>
      <w:pPr>
        <w:numPr>
          <w:ilvl w:val="2"/>
          <w:numId w:val="2"/>
        </w:numPr>
        <w:tabs>
          <w:tab w:val="left" w:pos="513"/>
        </w:tabs>
        <w:spacing w:line="360" w:lineRule="auto"/>
        <w:rPr>
          <w:rFonts w:ascii="宋体" w:hAnsi="宋体"/>
          <w:sz w:val="24"/>
          <w:szCs w:val="24"/>
          <w:lang w:val="en-GB"/>
        </w:rPr>
      </w:pPr>
      <w:r>
        <w:rPr>
          <w:rFonts w:hint="eastAsia" w:ascii="宋体" w:hAnsi="宋体"/>
          <w:sz w:val="24"/>
          <w:szCs w:val="24"/>
          <w:lang w:val="en-GB"/>
        </w:rPr>
        <w:t>《加工铜及铜合金牌号和化学成分》GB/T5231-2012</w:t>
      </w:r>
    </w:p>
    <w:p>
      <w:pPr>
        <w:numPr>
          <w:ilvl w:val="2"/>
          <w:numId w:val="2"/>
        </w:numPr>
        <w:tabs>
          <w:tab w:val="left" w:pos="513"/>
        </w:tabs>
        <w:spacing w:line="360" w:lineRule="auto"/>
        <w:rPr>
          <w:rFonts w:ascii="宋体" w:hAnsi="宋体"/>
          <w:sz w:val="24"/>
          <w:szCs w:val="24"/>
          <w:lang w:val="en-GB"/>
        </w:rPr>
      </w:pPr>
      <w:r>
        <w:rPr>
          <w:rFonts w:hint="eastAsia" w:ascii="宋体" w:hAnsi="宋体"/>
          <w:sz w:val="24"/>
          <w:szCs w:val="24"/>
          <w:lang w:val="en-GB"/>
        </w:rPr>
        <w:t>《低压电器外壳防护等级》GB/T4942.2</w:t>
      </w:r>
    </w:p>
    <w:p>
      <w:pPr>
        <w:numPr>
          <w:ilvl w:val="2"/>
          <w:numId w:val="2"/>
        </w:numPr>
        <w:tabs>
          <w:tab w:val="left" w:pos="513"/>
        </w:tabs>
        <w:spacing w:line="360" w:lineRule="auto"/>
        <w:rPr>
          <w:rFonts w:ascii="宋体" w:hAnsi="宋体"/>
          <w:sz w:val="24"/>
          <w:szCs w:val="24"/>
          <w:lang w:val="en-GB"/>
        </w:rPr>
      </w:pPr>
      <w:r>
        <w:rPr>
          <w:rFonts w:hint="eastAsia" w:ascii="宋体" w:hAnsi="宋体"/>
          <w:sz w:val="24"/>
          <w:szCs w:val="24"/>
          <w:lang w:val="en-GB"/>
        </w:rPr>
        <w:t>《控制电路电器和开关元件一般要求》JB4013.1</w:t>
      </w:r>
    </w:p>
    <w:p>
      <w:pPr>
        <w:pStyle w:val="2"/>
        <w:rPr>
          <w:lang w:val="en-GB"/>
        </w:rPr>
      </w:pPr>
    </w:p>
    <w:p>
      <w:pPr>
        <w:pStyle w:val="3"/>
        <w:spacing w:before="120" w:after="120" w:line="360" w:lineRule="auto"/>
        <w:jc w:val="both"/>
        <w:rPr>
          <w:rFonts w:ascii="宋体" w:hAnsi="宋体" w:eastAsia="宋体"/>
          <w:szCs w:val="24"/>
          <w:lang w:eastAsia="zh-CN"/>
        </w:rPr>
      </w:pPr>
      <w:r>
        <w:rPr>
          <w:rFonts w:hint="eastAsia" w:ascii="宋体" w:hAnsi="宋体" w:eastAsia="宋体"/>
          <w:szCs w:val="24"/>
          <w:lang w:eastAsia="zh-CN"/>
        </w:rPr>
        <w:t>4用途</w:t>
      </w:r>
      <w:r>
        <w:rPr>
          <w:rFonts w:ascii="宋体" w:hAnsi="宋体" w:eastAsia="宋体"/>
          <w:szCs w:val="24"/>
          <w:lang w:eastAsia="zh-CN"/>
        </w:rPr>
        <w:t>描述</w:t>
      </w:r>
    </w:p>
    <w:p>
      <w:pPr>
        <w:widowControl/>
        <w:spacing w:before="120" w:after="120"/>
        <w:ind w:firstLine="480" w:firstLineChars="200"/>
        <w:rPr>
          <w:rFonts w:ascii="宋体" w:hAnsi="宋体"/>
          <w:sz w:val="24"/>
          <w:szCs w:val="24"/>
        </w:rPr>
      </w:pPr>
      <w:r>
        <w:rPr>
          <w:rFonts w:hint="eastAsia" w:ascii="宋体" w:hAnsi="宋体"/>
          <w:sz w:val="24"/>
        </w:rPr>
        <w:t>为满足白云厂区办公大楼电梯、消防设施</w:t>
      </w:r>
      <w:r>
        <w:rPr>
          <w:rFonts w:hint="eastAsia" w:ascii="宋体" w:hAnsi="宋体"/>
          <w:sz w:val="24"/>
          <w:lang w:val="en-US" w:eastAsia="zh-CN"/>
        </w:rPr>
        <w:t>等</w:t>
      </w:r>
      <w:bookmarkStart w:id="38" w:name="_GoBack"/>
      <w:bookmarkEnd w:id="38"/>
      <w:r>
        <w:rPr>
          <w:rFonts w:hint="eastAsia" w:ascii="宋体" w:hAnsi="宋体"/>
          <w:sz w:val="24"/>
        </w:rPr>
        <w:t>安装、运行需求，拟购置安装相关电缆、控制柜及开关。</w:t>
      </w:r>
      <w:r>
        <w:rPr>
          <w:rFonts w:hint="eastAsia" w:ascii="宋体" w:hAnsi="宋体"/>
          <w:sz w:val="24"/>
          <w:szCs w:val="24"/>
        </w:rPr>
        <w:t>电缆电柜等电器元器件性能需满足要求。</w:t>
      </w:r>
    </w:p>
    <w:bookmarkEnd w:id="17"/>
    <w:bookmarkEnd w:id="18"/>
    <w:bookmarkEnd w:id="19"/>
    <w:bookmarkEnd w:id="20"/>
    <w:p>
      <w:pPr>
        <w:pStyle w:val="3"/>
        <w:spacing w:before="120" w:after="120" w:line="360" w:lineRule="auto"/>
        <w:jc w:val="both"/>
        <w:rPr>
          <w:rFonts w:ascii="宋体" w:hAnsi="宋体" w:eastAsia="宋体"/>
          <w:szCs w:val="24"/>
          <w:lang w:eastAsia="zh-CN"/>
        </w:rPr>
      </w:pPr>
      <w:bookmarkStart w:id="21" w:name="_Toc288827320"/>
      <w:bookmarkStart w:id="22" w:name="_Toc340348730"/>
      <w:bookmarkStart w:id="23" w:name="_Toc302564013"/>
      <w:bookmarkStart w:id="24" w:name="_Toc7075"/>
      <w:bookmarkStart w:id="25" w:name="_Toc450905289"/>
      <w:bookmarkStart w:id="26" w:name="_Toc24564"/>
      <w:r>
        <w:rPr>
          <w:rFonts w:hint="eastAsia" w:ascii="宋体" w:hAnsi="宋体" w:eastAsia="宋体"/>
          <w:szCs w:val="24"/>
          <w:lang w:val="en-US" w:eastAsia="zh-CN"/>
        </w:rPr>
        <w:t>5</w:t>
      </w:r>
      <w:r>
        <w:rPr>
          <w:rFonts w:hint="eastAsia" w:ascii="宋体" w:hAnsi="宋体" w:eastAsia="宋体"/>
          <w:szCs w:val="24"/>
          <w:lang w:eastAsia="zh-CN"/>
        </w:rPr>
        <w:t>用户需求</w:t>
      </w:r>
      <w:bookmarkEnd w:id="21"/>
      <w:bookmarkEnd w:id="22"/>
      <w:bookmarkEnd w:id="23"/>
      <w:bookmarkEnd w:id="24"/>
      <w:bookmarkEnd w:id="25"/>
      <w:bookmarkEnd w:id="26"/>
    </w:p>
    <w:p>
      <w:pPr>
        <w:pStyle w:val="4"/>
        <w:keepNext w:val="0"/>
        <w:spacing w:before="0" w:after="0" w:line="360" w:lineRule="auto"/>
        <w:rPr>
          <w:rFonts w:ascii="宋体" w:hAnsi="宋体" w:eastAsia="宋体" w:cs="Arial"/>
          <w:b w:val="0"/>
          <w:bCs w:val="0"/>
          <w:sz w:val="24"/>
          <w:szCs w:val="24"/>
          <w:lang w:val="en-GB"/>
        </w:rPr>
      </w:pPr>
      <w:bookmarkStart w:id="27" w:name="_Toc31419"/>
      <w:bookmarkStart w:id="28" w:name="_Toc302564015"/>
      <w:bookmarkStart w:id="29" w:name="_Toc450905290"/>
      <w:bookmarkStart w:id="30" w:name="_Toc12539"/>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.1技术要求</w:t>
      </w:r>
      <w:bookmarkEnd w:id="27"/>
      <w:bookmarkEnd w:id="28"/>
      <w:bookmarkEnd w:id="29"/>
      <w:bookmarkEnd w:id="30"/>
    </w:p>
    <w:tbl>
      <w:tblPr>
        <w:tblStyle w:val="11"/>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both"/>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符合国家电力电缆生产规范及质量标准和建筑工程中电缆设计施工规范及有关标准。</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导体为铜导体，铜芯材质纯度为99.9％以上，表面光洁、无油污、无损伤屏蔽及绝缘的毛刺、锐边，无凸起或断裂的单线。</w:t>
            </w:r>
          </w:p>
        </w:tc>
        <w:tc>
          <w:tcPr>
            <w:tcW w:w="1167" w:type="dxa"/>
            <w:vAlign w:val="center"/>
          </w:tcPr>
          <w:p>
            <w:pPr>
              <w:pStyle w:val="21"/>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绝缘标称厚度满足国家最新规定，绝缘最薄点的厚度不小于规定标称值的90%。</w:t>
            </w:r>
          </w:p>
        </w:tc>
        <w:tc>
          <w:tcPr>
            <w:tcW w:w="1167" w:type="dxa"/>
            <w:vAlign w:val="center"/>
          </w:tcPr>
          <w:p>
            <w:pPr>
              <w:pStyle w:val="21"/>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绝缘试验要求在每一导体和护套之间进行测量，并符合国家最新规定。</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缆芯采用非吸湿性材料填充（为线性聚乙烯或聚丙烯填料），紧密无空隙。</w:t>
            </w:r>
          </w:p>
        </w:tc>
        <w:tc>
          <w:tcPr>
            <w:tcW w:w="1167" w:type="dxa"/>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采用黑色聚氯乙烯化合物，外护套厚度及性能符合国家最新规定。</w:t>
            </w:r>
          </w:p>
        </w:tc>
        <w:tc>
          <w:tcPr>
            <w:tcW w:w="1167" w:type="dxa"/>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电线阻燃等级不低于B类。</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导线的阻燃、耐火标准应符合国家最新标准。</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耐压试验要求在每一导体和护套之间和芯与芯之间施加工频电压进行测量，并符合国家规定，试样段电压试验（2500V持续15min）不击穿；弯曲后电压试验（1250V持续15min）不击穿；压扁后电压试验（1250V持续15min）不击穿。</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电缆长度不得是负误差</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电缆采用喷墨打印有米数、生产厂家</w:t>
            </w:r>
          </w:p>
        </w:tc>
        <w:tc>
          <w:tcPr>
            <w:tcW w:w="1167" w:type="dxa"/>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控制柜元器件为国内知名品牌，要求布局合理，满足性能需求</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cs="宋体"/>
                <w:sz w:val="24"/>
                <w:szCs w:val="24"/>
              </w:rPr>
              <w:t>控制柜防护等级符合国家标准，有足够机械强度，要求安装后无摇晃、不变形</w:t>
            </w:r>
          </w:p>
        </w:tc>
        <w:tc>
          <w:tcPr>
            <w:tcW w:w="1167"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cs="宋体"/>
                <w:sz w:val="24"/>
                <w:szCs w:val="24"/>
              </w:rPr>
            </w:pPr>
            <w:r>
              <w:rPr>
                <w:rFonts w:hint="eastAsia" w:ascii="宋体" w:hAnsi="宋体"/>
                <w:sz w:val="24"/>
                <w:szCs w:val="24"/>
              </w:rPr>
              <w:t>控制柜800*600*250需配套8个100A配电用交流塑壳断路器、2个250A塑壳断路器、4个铜排。</w:t>
            </w:r>
          </w:p>
        </w:tc>
        <w:tc>
          <w:tcPr>
            <w:tcW w:w="1167" w:type="dxa"/>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3"/>
              <w:numPr>
                <w:ilvl w:val="0"/>
                <w:numId w:val="3"/>
              </w:numPr>
              <w:jc w:val="center"/>
              <w:rPr>
                <w:rFonts w:ascii="宋体" w:hAnsi="宋体" w:cs="宋体"/>
                <w:lang w:bidi="th-TH"/>
              </w:rPr>
            </w:pPr>
          </w:p>
        </w:tc>
        <w:tc>
          <w:tcPr>
            <w:tcW w:w="7028" w:type="dxa"/>
            <w:vAlign w:val="center"/>
          </w:tcPr>
          <w:p>
            <w:pPr>
              <w:spacing w:line="360" w:lineRule="auto"/>
              <w:rPr>
                <w:rFonts w:ascii="宋体" w:hAnsi="宋体"/>
                <w:sz w:val="24"/>
                <w:szCs w:val="24"/>
              </w:rPr>
            </w:pPr>
            <w:r>
              <w:rPr>
                <w:rFonts w:hint="eastAsia" w:ascii="宋体" w:hAnsi="宋体"/>
                <w:sz w:val="24"/>
                <w:szCs w:val="24"/>
              </w:rPr>
              <w:t>10AT1、10AT2、10AT3、10AT4</w:t>
            </w:r>
            <w:r>
              <w:rPr>
                <w:rFonts w:hint="eastAsia" w:ascii="宋体" w:hAnsi="宋体" w:cs="宋体"/>
                <w:sz w:val="24"/>
                <w:szCs w:val="24"/>
              </w:rPr>
              <w:t>控制柜设计见设计图，投标人需列清元器件清单</w:t>
            </w:r>
          </w:p>
        </w:tc>
        <w:tc>
          <w:tcPr>
            <w:tcW w:w="1167" w:type="dxa"/>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bl>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5</w:t>
      </w:r>
      <w:r>
        <w:rPr>
          <w:rFonts w:ascii="宋体" w:hAnsi="宋体" w:eastAsia="宋体" w:cs="Arial"/>
          <w:b w:val="0"/>
          <w:bCs w:val="0"/>
          <w:sz w:val="24"/>
          <w:szCs w:val="24"/>
        </w:rPr>
        <w:t>.</w:t>
      </w:r>
      <w:r>
        <w:rPr>
          <w:rFonts w:hint="eastAsia" w:ascii="宋体" w:hAnsi="宋体" w:eastAsia="宋体" w:cs="Arial"/>
          <w:b w:val="0"/>
          <w:bCs w:val="0"/>
          <w:sz w:val="24"/>
          <w:szCs w:val="24"/>
        </w:rPr>
        <w:t>2文件资料要求</w:t>
      </w:r>
    </w:p>
    <w:tbl>
      <w:tblPr>
        <w:tblStyle w:val="11"/>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34"/>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1" w:type="dxa"/>
            <w:shd w:val="pct20" w:color="auto" w:fill="FFFFFF"/>
            <w:vAlign w:val="center"/>
          </w:tcPr>
          <w:p>
            <w:pPr>
              <w:spacing w:line="320" w:lineRule="exact"/>
              <w:jc w:val="center"/>
              <w:rPr>
                <w:b/>
              </w:rPr>
            </w:pPr>
            <w:r>
              <w:rPr>
                <w:rFonts w:hint="eastAsia"/>
                <w:b/>
              </w:rPr>
              <w:t>序号</w:t>
            </w:r>
          </w:p>
        </w:tc>
        <w:tc>
          <w:tcPr>
            <w:tcW w:w="7134"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3"/>
              <w:numPr>
                <w:ilvl w:val="0"/>
                <w:numId w:val="3"/>
              </w:numPr>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所有资料为一式三份（纸质二份，电子版一份）</w:t>
            </w:r>
          </w:p>
        </w:tc>
        <w:tc>
          <w:tcPr>
            <w:tcW w:w="1180"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3"/>
              <w:numPr>
                <w:ilvl w:val="0"/>
                <w:numId w:val="3"/>
              </w:numPr>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供应商提供国家强制性产品认证（CCC）证书、相应等级的检验报告及合格证</w:t>
            </w:r>
          </w:p>
        </w:tc>
        <w:tc>
          <w:tcPr>
            <w:tcW w:w="1180"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3"/>
              <w:numPr>
                <w:ilvl w:val="0"/>
                <w:numId w:val="3"/>
              </w:numPr>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供应商必须提供电线电缆、元器件生产地、品牌、生产商以及生产许可证、产地证明、安全和质量检测证明文件</w:t>
            </w:r>
          </w:p>
        </w:tc>
        <w:tc>
          <w:tcPr>
            <w:tcW w:w="1180"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3"/>
              <w:numPr>
                <w:ilvl w:val="0"/>
                <w:numId w:val="3"/>
              </w:numPr>
              <w:jc w:val="center"/>
            </w:pPr>
          </w:p>
        </w:tc>
        <w:tc>
          <w:tcPr>
            <w:tcW w:w="7134" w:type="dxa"/>
          </w:tcPr>
          <w:p>
            <w:pPr>
              <w:spacing w:line="360" w:lineRule="auto"/>
              <w:rPr>
                <w:rFonts w:ascii="宋体" w:hAnsi="宋体" w:cs="宋体"/>
                <w:sz w:val="24"/>
                <w:szCs w:val="24"/>
              </w:rPr>
            </w:pPr>
            <w:r>
              <w:rPr>
                <w:rFonts w:hint="eastAsia" w:ascii="宋体" w:hAnsi="宋体" w:cs="宋体"/>
                <w:sz w:val="24"/>
                <w:szCs w:val="24"/>
              </w:rPr>
              <w:t>供应商应提供文件包括以下内容：电缆电柜详细尺寸、材质证明等技术参数</w:t>
            </w:r>
          </w:p>
        </w:tc>
        <w:tc>
          <w:tcPr>
            <w:tcW w:w="1180"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1"/>
              <w:spacing w:before="0" w:line="320" w:lineRule="exact"/>
              <w:jc w:val="center"/>
              <w:rPr>
                <w:rFonts w:ascii="Arial" w:hAnsi="Arial"/>
                <w:sz w:val="20"/>
                <w:lang w:eastAsia="zh-CN"/>
              </w:rPr>
            </w:pPr>
          </w:p>
        </w:tc>
      </w:tr>
    </w:tbl>
    <w:p>
      <w:pPr>
        <w:pStyle w:val="3"/>
        <w:spacing w:before="120" w:after="120" w:line="360" w:lineRule="auto"/>
        <w:jc w:val="both"/>
        <w:rPr>
          <w:rFonts w:ascii="宋体" w:hAnsi="宋体" w:eastAsia="宋体"/>
          <w:szCs w:val="24"/>
          <w:lang w:eastAsia="zh-CN"/>
        </w:rPr>
      </w:pPr>
      <w:r>
        <w:rPr>
          <w:rFonts w:hint="eastAsia" w:ascii="宋体" w:hAnsi="宋体" w:eastAsia="宋体"/>
          <w:szCs w:val="24"/>
          <w:lang w:val="en-US" w:eastAsia="zh-CN"/>
        </w:rPr>
        <w:t>6</w:t>
      </w:r>
      <w:r>
        <w:rPr>
          <w:rFonts w:hint="eastAsia" w:ascii="宋体" w:hAnsi="宋体" w:eastAsia="宋体"/>
          <w:szCs w:val="24"/>
          <w:lang w:eastAsia="zh-CN"/>
        </w:rPr>
        <w:t>服务要求</w:t>
      </w: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.1交货要求</w:t>
      </w:r>
    </w:p>
    <w:tbl>
      <w:tblPr>
        <w:tblStyle w:val="11"/>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pPr>
              <w:spacing w:line="320" w:lineRule="exact"/>
              <w:jc w:val="center"/>
              <w:rPr>
                <w:b/>
              </w:rPr>
            </w:pPr>
            <w:r>
              <w:rPr>
                <w:rFonts w:hint="eastAsia"/>
                <w:b/>
              </w:rPr>
              <w:t>序号</w:t>
            </w:r>
          </w:p>
        </w:tc>
        <w:tc>
          <w:tcPr>
            <w:tcW w:w="7111"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3"/>
              <w:numPr>
                <w:ilvl w:val="0"/>
                <w:numId w:val="3"/>
              </w:numPr>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交货期15天，运输时间包含在供货周期内。</w:t>
            </w:r>
          </w:p>
        </w:tc>
        <w:tc>
          <w:tcPr>
            <w:tcW w:w="1196"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pPr>
              <w:pStyle w:val="23"/>
              <w:numPr>
                <w:ilvl w:val="0"/>
                <w:numId w:val="3"/>
              </w:numPr>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包装应牢固可靠，适合运输装卸的要求</w:t>
            </w:r>
          </w:p>
        </w:tc>
        <w:tc>
          <w:tcPr>
            <w:tcW w:w="1196" w:type="dxa"/>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电缆应妥善包装在符合国家规定的电缆盘上交货，所有电缆末端应可靠封堵、密封</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产品运输过程中应小心轻放，不允许碰撞</w:t>
            </w:r>
            <w:r>
              <w:rPr>
                <w:rFonts w:hint="eastAsia" w:ascii="宋体" w:hAnsi="宋体" w:cs="宋体"/>
                <w:sz w:val="24"/>
                <w:szCs w:val="24"/>
              </w:rPr>
              <w:t>，由于运输过程的损失由供应商承担全部损失。</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技术文件应妥善包装在包装箱内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包装箱应清晰标出发货及运输作业标志</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运输时间包含在供货周期内，供方负责运输，并承担运输费用</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到货清单必须详列物品明细</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val="en-GB"/>
              </w:rPr>
            </w:pPr>
            <w:r>
              <w:rPr>
                <w:rFonts w:hint="eastAsia" w:ascii="宋体" w:hAnsi="宋体" w:cs="宋体"/>
                <w:sz w:val="24"/>
                <w:szCs w:val="24"/>
                <w:lang w:bidi="th-TH"/>
              </w:rPr>
              <w:t>供应商负责将用户订购设备运送至用户厂内，搬运、吊装工作须指派技术人员进行现场指导。</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lang w:bidi="th-TH"/>
              </w:rPr>
              <w:t>电缆及控制柜到货需拆时供应商应陪同现场人员进行拆卸，如供应商授权本公司自行拆卸，拆卸后如发现电缆及其附件有任何损坏、缺少，供应商负全责。</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电缆及控制柜更换等寄送费用，由供应商负责</w:t>
            </w:r>
          </w:p>
        </w:tc>
        <w:tc>
          <w:tcPr>
            <w:tcW w:w="1196"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bl>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.2售后要求</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920"/>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0" w:type="dxa"/>
            <w:shd w:val="pct20" w:color="auto" w:fill="FFFFFF"/>
            <w:vAlign w:val="center"/>
          </w:tcPr>
          <w:p>
            <w:pPr>
              <w:spacing w:line="320" w:lineRule="exact"/>
              <w:jc w:val="center"/>
              <w:rPr>
                <w:b/>
                <w:color w:val="000000"/>
              </w:rPr>
            </w:pPr>
            <w:r>
              <w:rPr>
                <w:rFonts w:hint="eastAsia"/>
                <w:b/>
                <w:color w:val="000000"/>
              </w:rPr>
              <w:t>序号</w:t>
            </w:r>
          </w:p>
        </w:tc>
        <w:tc>
          <w:tcPr>
            <w:tcW w:w="6920"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3"/>
              <w:numPr>
                <w:ilvl w:val="0"/>
                <w:numId w:val="3"/>
              </w:numPr>
              <w:jc w:val="center"/>
            </w:pPr>
          </w:p>
        </w:tc>
        <w:tc>
          <w:tcPr>
            <w:tcW w:w="6920" w:type="dxa"/>
            <w:vAlign w:val="center"/>
          </w:tcPr>
          <w:p>
            <w:pPr>
              <w:rPr>
                <w:rFonts w:ascii="宋体" w:hAnsi="宋体" w:cs="宋体"/>
                <w:sz w:val="24"/>
                <w:szCs w:val="24"/>
                <w:lang w:val="en-GB"/>
              </w:rPr>
            </w:pPr>
            <w:r>
              <w:rPr>
                <w:rFonts w:hint="eastAsia" w:ascii="宋体" w:hAnsi="宋体" w:cs="宋体"/>
                <w:sz w:val="24"/>
                <w:szCs w:val="24"/>
              </w:rPr>
              <w:t>质保期内，供应商应免费随机提供1年内所需易损件和消耗品。</w:t>
            </w:r>
          </w:p>
        </w:tc>
        <w:tc>
          <w:tcPr>
            <w:tcW w:w="1194" w:type="dxa"/>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bidi="th-TH"/>
              </w:rPr>
            </w:pPr>
            <w:r>
              <w:rPr>
                <w:rFonts w:hint="eastAsia" w:ascii="宋体" w:hAnsi="宋体" w:cs="宋体"/>
                <w:sz w:val="24"/>
                <w:szCs w:val="24"/>
                <w:lang w:bidi="th-TH"/>
              </w:rPr>
              <w:t>质保期内，非用户人为原因所造成的损坏，需更换电缆或控制柜，供应商须无条件免费更换。</w:t>
            </w:r>
          </w:p>
        </w:tc>
        <w:tc>
          <w:tcPr>
            <w:tcW w:w="1194"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电缆及控制柜应提供至少1年质保</w:t>
            </w:r>
            <w:r>
              <w:rPr>
                <w:rFonts w:hint="eastAsia" w:ascii="宋体" w:hAnsi="宋体" w:cs="宋体"/>
                <w:sz w:val="24"/>
                <w:szCs w:val="24"/>
                <w:lang w:bidi="th-TH"/>
              </w:rPr>
              <w:t>，质保期为电缆及控制柜到货验收后算起一年。质保期内，合同中所供货物在操作规程内出现任何问题，卖方免费提供备品备件和上门维护。</w:t>
            </w:r>
          </w:p>
        </w:tc>
        <w:tc>
          <w:tcPr>
            <w:tcW w:w="1194"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3"/>
              <w:numPr>
                <w:ilvl w:val="0"/>
                <w:numId w:val="3"/>
              </w:numPr>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lang w:bidi="th-TH"/>
              </w:rPr>
              <w:t>质保期内，供应商在接到用户维修服务通知后须在2小时内予以回复，24小时内派相关服务人员到达现场解决问题，服务人员来往所需费用由供应商自理；质保期外48小时内派相关的服务工程师到达需方工作现场进行维护。</w:t>
            </w:r>
          </w:p>
        </w:tc>
        <w:tc>
          <w:tcPr>
            <w:tcW w:w="1194" w:type="dxa"/>
            <w:tcBorders>
              <w:top w:val="single" w:color="auto" w:sz="4" w:space="0"/>
              <w:left w:val="single" w:color="auto" w:sz="4" w:space="0"/>
              <w:bottom w:val="single" w:color="auto" w:sz="4" w:space="0"/>
              <w:right w:val="single" w:color="auto" w:sz="4" w:space="0"/>
            </w:tcBorders>
            <w:vAlign w:val="center"/>
          </w:tcPr>
          <w:p>
            <w:pPr>
              <w:pStyle w:val="21"/>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1"/>
              <w:spacing w:before="0" w:line="320" w:lineRule="exact"/>
              <w:jc w:val="center"/>
              <w:rPr>
                <w:rFonts w:ascii="Arial" w:hAnsi="Arial"/>
                <w:sz w:val="20"/>
                <w:lang w:eastAsia="zh-CN"/>
              </w:rPr>
            </w:pPr>
          </w:p>
        </w:tc>
      </w:tr>
    </w:tbl>
    <w:p>
      <w:pPr>
        <w:pStyle w:val="4"/>
        <w:keepNext w:val="0"/>
        <w:spacing w:before="0" w:after="0" w:line="360" w:lineRule="auto"/>
        <w:rPr>
          <w:rFonts w:ascii="宋体" w:hAnsi="宋体" w:eastAsia="宋体" w:cs="Arial"/>
          <w:b w:val="0"/>
          <w:bCs w:val="0"/>
          <w:sz w:val="24"/>
          <w:szCs w:val="24"/>
          <w:lang w:val="en-GB"/>
        </w:rPr>
      </w:pPr>
      <w:bookmarkStart w:id="31" w:name="_Toc450905296"/>
      <w:bookmarkStart w:id="32" w:name="_Toc2473"/>
      <w:bookmarkStart w:id="33" w:name="_Toc18141"/>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w:t>
      </w:r>
      <w:bookmarkEnd w:id="31"/>
      <w:bookmarkEnd w:id="32"/>
      <w:bookmarkEnd w:id="33"/>
      <w:r>
        <w:rPr>
          <w:rFonts w:hint="eastAsia" w:ascii="宋体" w:hAnsi="宋体" w:eastAsia="宋体" w:cs="Arial"/>
          <w:b w:val="0"/>
          <w:bCs w:val="0"/>
          <w:sz w:val="24"/>
          <w:szCs w:val="24"/>
          <w:lang w:val="en-GB"/>
        </w:rPr>
        <w:t>3其它要求</w:t>
      </w:r>
    </w:p>
    <w:tbl>
      <w:tblPr>
        <w:tblStyle w:val="11"/>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5" w:type="dxa"/>
            <w:shd w:val="pct20" w:color="auto" w:fill="FFFFFF"/>
            <w:vAlign w:val="center"/>
          </w:tcPr>
          <w:p>
            <w:pPr>
              <w:spacing w:line="320" w:lineRule="exact"/>
              <w:jc w:val="center"/>
              <w:rPr>
                <w:b/>
                <w:color w:val="000000"/>
              </w:rPr>
            </w:pPr>
            <w:r>
              <w:rPr>
                <w:rFonts w:hint="eastAsia"/>
                <w:b/>
                <w:color w:val="000000"/>
              </w:rPr>
              <w:t>序号</w:t>
            </w:r>
          </w:p>
        </w:tc>
        <w:tc>
          <w:tcPr>
            <w:tcW w:w="6905"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3"/>
              <w:numPr>
                <w:ilvl w:val="0"/>
                <w:numId w:val="3"/>
              </w:numPr>
              <w:jc w:val="center"/>
            </w:pPr>
          </w:p>
        </w:tc>
        <w:tc>
          <w:tcPr>
            <w:tcW w:w="6905" w:type="dxa"/>
          </w:tcPr>
          <w:p>
            <w:pPr>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pPr>
              <w:pStyle w:val="25"/>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3"/>
              <w:numPr>
                <w:ilvl w:val="0"/>
                <w:numId w:val="3"/>
              </w:numPr>
              <w:jc w:val="center"/>
            </w:pPr>
          </w:p>
        </w:tc>
        <w:tc>
          <w:tcPr>
            <w:tcW w:w="6905" w:type="dxa"/>
          </w:tcPr>
          <w:p>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tc>
        <w:tc>
          <w:tcPr>
            <w:tcW w:w="1131" w:type="dxa"/>
            <w:vAlign w:val="center"/>
          </w:tcPr>
          <w:p>
            <w:pPr>
              <w:pStyle w:val="25"/>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pStyle w:val="4"/>
        <w:keepNext w:val="0"/>
        <w:spacing w:before="0" w:after="0" w:line="360" w:lineRule="auto"/>
        <w:rPr>
          <w:lang w:val="en-GB"/>
        </w:rPr>
      </w:pPr>
      <w:bookmarkStart w:id="34" w:name="_Toc450905302"/>
      <w:bookmarkEnd w:id="34"/>
      <w:bookmarkStart w:id="35" w:name="_Toc340348739"/>
      <w:bookmarkEnd w:id="35"/>
      <w:bookmarkStart w:id="36" w:name="_Toc12046"/>
      <w:bookmarkEnd w:id="36"/>
      <w:bookmarkStart w:id="37" w:name="_Toc9587"/>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5A693"/>
    <w:multiLevelType w:val="singleLevel"/>
    <w:tmpl w:val="E485A693"/>
    <w:lvl w:ilvl="0" w:tentative="0">
      <w:start w:val="1"/>
      <w:numFmt w:val="decimal"/>
      <w:lvlText w:val="URS%1"/>
      <w:lvlJc w:val="left"/>
      <w:pPr>
        <w:tabs>
          <w:tab w:val="left" w:pos="420"/>
        </w:tabs>
        <w:ind w:left="425" w:hanging="425"/>
      </w:pPr>
      <w:rPr>
        <w:rFonts w:hint="default" w:ascii="宋体" w:hAnsi="宋体" w:eastAsia="宋体" w:cs="宋体"/>
      </w:rPr>
    </w:lvl>
  </w:abstractNum>
  <w:abstractNum w:abstractNumId="1">
    <w:nsid w:val="00000005"/>
    <w:multiLevelType w:val="multilevel"/>
    <w:tmpl w:val="0000000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sz w:val="24"/>
      </w:rPr>
    </w:lvl>
    <w:lvl w:ilvl="2" w:tentative="0">
      <w:start w:val="1"/>
      <w:numFmt w:val="bullet"/>
      <w:lvlText w:val=""/>
      <w:lvlJc w:val="left"/>
      <w:pPr>
        <w:tabs>
          <w:tab w:val="left" w:pos="420"/>
        </w:tabs>
        <w:ind w:left="420" w:hanging="420"/>
      </w:pPr>
      <w:rPr>
        <w:rFonts w:hint="default" w:ascii="Wingdings" w:hAnsi="Wingdings"/>
      </w:rPr>
    </w:lvl>
    <w:lvl w:ilvl="3" w:tentative="0">
      <w:start w:val="1"/>
      <w:numFmt w:val="decimal"/>
      <w:lvlText w:val="%1.%2.%3.%4."/>
      <w:lvlJc w:val="left"/>
      <w:pPr>
        <w:tabs>
          <w:tab w:val="left" w:pos="851"/>
        </w:tabs>
        <w:ind w:left="851" w:hanging="851"/>
      </w:pPr>
      <w:rPr>
        <w:rFonts w:ascii="宋体" w:hAnsi="宋体" w:eastAsia="宋体"/>
      </w:rPr>
    </w:lvl>
    <w:lvl w:ilvl="4" w:tentative="0">
      <w:start w:val="1"/>
      <w:numFmt w:val="decimal"/>
      <w:lvlText w:val="%1.%2.%3.%4.%5."/>
      <w:lvlJc w:val="left"/>
      <w:pPr>
        <w:tabs>
          <w:tab w:val="left" w:pos="992"/>
        </w:tabs>
        <w:ind w:left="992" w:hanging="992"/>
      </w:pPr>
      <w:rPr>
        <w:rFonts w:ascii="宋体" w:hAnsi="宋体" w:eastAsia="宋体"/>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10"/>
    <w:multiLevelType w:val="multilevel"/>
    <w:tmpl w:val="0000001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sz w:val="24"/>
      </w:rPr>
    </w:lvl>
    <w:lvl w:ilvl="2" w:tentative="0">
      <w:start w:val="1"/>
      <w:numFmt w:val="bullet"/>
      <w:lvlText w:val=""/>
      <w:lvlJc w:val="left"/>
      <w:pPr>
        <w:tabs>
          <w:tab w:val="left" w:pos="420"/>
        </w:tabs>
        <w:ind w:left="420" w:hanging="420"/>
      </w:pPr>
      <w:rPr>
        <w:rFonts w:hint="default" w:ascii="Wingdings" w:hAnsi="Wingdings"/>
      </w:rPr>
    </w:lvl>
    <w:lvl w:ilvl="3" w:tentative="0">
      <w:start w:val="1"/>
      <w:numFmt w:val="decimal"/>
      <w:lvlText w:val="%1.%2.%3.%4."/>
      <w:lvlJc w:val="left"/>
      <w:pPr>
        <w:tabs>
          <w:tab w:val="left" w:pos="851"/>
        </w:tabs>
        <w:ind w:left="851" w:hanging="851"/>
      </w:pPr>
      <w:rPr>
        <w:rFonts w:ascii="宋体" w:hAnsi="宋体" w:eastAsia="宋体"/>
      </w:rPr>
    </w:lvl>
    <w:lvl w:ilvl="4" w:tentative="0">
      <w:start w:val="1"/>
      <w:numFmt w:val="decimal"/>
      <w:lvlText w:val="%1.%2.%3.%4.%5."/>
      <w:lvlJc w:val="left"/>
      <w:pPr>
        <w:tabs>
          <w:tab w:val="left" w:pos="992"/>
        </w:tabs>
        <w:ind w:left="992" w:hanging="992"/>
      </w:pPr>
      <w:rPr>
        <w:rFonts w:ascii="宋体" w:hAnsi="宋体" w:eastAsia="宋体"/>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lvlOverride w:ilvl="1">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xOWY1YzE3Y2M0ZWE5MzA2NWYxZTMxNGQ1Njg2ZDkifQ=="/>
  </w:docVars>
  <w:rsids>
    <w:rsidRoot w:val="00D83CC9"/>
    <w:rsid w:val="00035656"/>
    <w:rsid w:val="00037EB6"/>
    <w:rsid w:val="00076639"/>
    <w:rsid w:val="000938EC"/>
    <w:rsid w:val="000A1670"/>
    <w:rsid w:val="000A5A11"/>
    <w:rsid w:val="000C314F"/>
    <w:rsid w:val="000C707D"/>
    <w:rsid w:val="000D37A1"/>
    <w:rsid w:val="000D5B2E"/>
    <w:rsid w:val="000D7754"/>
    <w:rsid w:val="000D78D2"/>
    <w:rsid w:val="001010CE"/>
    <w:rsid w:val="0011662F"/>
    <w:rsid w:val="00125745"/>
    <w:rsid w:val="00125C3C"/>
    <w:rsid w:val="001262D1"/>
    <w:rsid w:val="001303D7"/>
    <w:rsid w:val="00136BF4"/>
    <w:rsid w:val="0015536A"/>
    <w:rsid w:val="00166014"/>
    <w:rsid w:val="00170BF3"/>
    <w:rsid w:val="00172C7B"/>
    <w:rsid w:val="001C05B7"/>
    <w:rsid w:val="002230C0"/>
    <w:rsid w:val="00231D70"/>
    <w:rsid w:val="00233533"/>
    <w:rsid w:val="002361E3"/>
    <w:rsid w:val="002431E9"/>
    <w:rsid w:val="00247635"/>
    <w:rsid w:val="00252C7F"/>
    <w:rsid w:val="002747B0"/>
    <w:rsid w:val="00283593"/>
    <w:rsid w:val="002837F6"/>
    <w:rsid w:val="00293359"/>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A73C0"/>
    <w:rsid w:val="003B375E"/>
    <w:rsid w:val="003E227D"/>
    <w:rsid w:val="003E4042"/>
    <w:rsid w:val="003F573C"/>
    <w:rsid w:val="00422FD0"/>
    <w:rsid w:val="00436028"/>
    <w:rsid w:val="00445633"/>
    <w:rsid w:val="004461DB"/>
    <w:rsid w:val="00480875"/>
    <w:rsid w:val="00486BA6"/>
    <w:rsid w:val="00486C1E"/>
    <w:rsid w:val="00491410"/>
    <w:rsid w:val="004A7495"/>
    <w:rsid w:val="004B060A"/>
    <w:rsid w:val="004B328A"/>
    <w:rsid w:val="004B7719"/>
    <w:rsid w:val="004C5133"/>
    <w:rsid w:val="004D022E"/>
    <w:rsid w:val="004F530E"/>
    <w:rsid w:val="00511CE7"/>
    <w:rsid w:val="0052298B"/>
    <w:rsid w:val="00524B62"/>
    <w:rsid w:val="00524D6A"/>
    <w:rsid w:val="005413EE"/>
    <w:rsid w:val="005432E8"/>
    <w:rsid w:val="0056320E"/>
    <w:rsid w:val="00590055"/>
    <w:rsid w:val="005A1A18"/>
    <w:rsid w:val="005A7C2A"/>
    <w:rsid w:val="005C5112"/>
    <w:rsid w:val="005C7C7A"/>
    <w:rsid w:val="00601DBA"/>
    <w:rsid w:val="00605E27"/>
    <w:rsid w:val="006268B9"/>
    <w:rsid w:val="006367BA"/>
    <w:rsid w:val="00641A7B"/>
    <w:rsid w:val="00645169"/>
    <w:rsid w:val="00645D17"/>
    <w:rsid w:val="00667ECA"/>
    <w:rsid w:val="006711F5"/>
    <w:rsid w:val="006858B6"/>
    <w:rsid w:val="006C087C"/>
    <w:rsid w:val="006C6FB0"/>
    <w:rsid w:val="006F2686"/>
    <w:rsid w:val="006F6389"/>
    <w:rsid w:val="007178D0"/>
    <w:rsid w:val="00736C45"/>
    <w:rsid w:val="00737BD7"/>
    <w:rsid w:val="007427C7"/>
    <w:rsid w:val="00750E89"/>
    <w:rsid w:val="0075159C"/>
    <w:rsid w:val="00757594"/>
    <w:rsid w:val="00767090"/>
    <w:rsid w:val="00771FA7"/>
    <w:rsid w:val="007A154B"/>
    <w:rsid w:val="007B18ED"/>
    <w:rsid w:val="007B5DD0"/>
    <w:rsid w:val="007C6845"/>
    <w:rsid w:val="007D321E"/>
    <w:rsid w:val="007D6DAE"/>
    <w:rsid w:val="007E76E0"/>
    <w:rsid w:val="00805775"/>
    <w:rsid w:val="00806833"/>
    <w:rsid w:val="00812C15"/>
    <w:rsid w:val="0083671B"/>
    <w:rsid w:val="00840B7C"/>
    <w:rsid w:val="008526F6"/>
    <w:rsid w:val="0085363F"/>
    <w:rsid w:val="0085586F"/>
    <w:rsid w:val="00857164"/>
    <w:rsid w:val="00865F24"/>
    <w:rsid w:val="008676D3"/>
    <w:rsid w:val="00871830"/>
    <w:rsid w:val="00883C1C"/>
    <w:rsid w:val="00887DFE"/>
    <w:rsid w:val="00893E14"/>
    <w:rsid w:val="008A496C"/>
    <w:rsid w:val="008B7088"/>
    <w:rsid w:val="008C4218"/>
    <w:rsid w:val="008D77D6"/>
    <w:rsid w:val="008E1B52"/>
    <w:rsid w:val="008F19F7"/>
    <w:rsid w:val="008F7DBB"/>
    <w:rsid w:val="009001B9"/>
    <w:rsid w:val="00902BFF"/>
    <w:rsid w:val="00904594"/>
    <w:rsid w:val="00905771"/>
    <w:rsid w:val="00917690"/>
    <w:rsid w:val="009176EB"/>
    <w:rsid w:val="00955317"/>
    <w:rsid w:val="009606A2"/>
    <w:rsid w:val="009614E9"/>
    <w:rsid w:val="00991094"/>
    <w:rsid w:val="009A1972"/>
    <w:rsid w:val="009C70F3"/>
    <w:rsid w:val="009D6E1B"/>
    <w:rsid w:val="009F73E1"/>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C6D2B"/>
    <w:rsid w:val="00AE7D46"/>
    <w:rsid w:val="00AF1F41"/>
    <w:rsid w:val="00AF52D9"/>
    <w:rsid w:val="00B11D46"/>
    <w:rsid w:val="00B32953"/>
    <w:rsid w:val="00B43A48"/>
    <w:rsid w:val="00B45F77"/>
    <w:rsid w:val="00B50EBB"/>
    <w:rsid w:val="00B75023"/>
    <w:rsid w:val="00B9732F"/>
    <w:rsid w:val="00BA28B9"/>
    <w:rsid w:val="00BB766F"/>
    <w:rsid w:val="00BD6D2B"/>
    <w:rsid w:val="00BF34D9"/>
    <w:rsid w:val="00BF63B2"/>
    <w:rsid w:val="00C0196D"/>
    <w:rsid w:val="00C12F4D"/>
    <w:rsid w:val="00C31703"/>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75877"/>
    <w:rsid w:val="00D829EB"/>
    <w:rsid w:val="00D83CC9"/>
    <w:rsid w:val="00D84EAE"/>
    <w:rsid w:val="00DA2E0B"/>
    <w:rsid w:val="00DE0DD0"/>
    <w:rsid w:val="00DE2B39"/>
    <w:rsid w:val="00DF532F"/>
    <w:rsid w:val="00E41E9A"/>
    <w:rsid w:val="00E42F1B"/>
    <w:rsid w:val="00E4550A"/>
    <w:rsid w:val="00E50A26"/>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4B0C"/>
    <w:rsid w:val="00F06E20"/>
    <w:rsid w:val="00F07CC9"/>
    <w:rsid w:val="00F1166C"/>
    <w:rsid w:val="00F1196B"/>
    <w:rsid w:val="00F1526C"/>
    <w:rsid w:val="00F23FC0"/>
    <w:rsid w:val="00F315B8"/>
    <w:rsid w:val="00F64422"/>
    <w:rsid w:val="00F70245"/>
    <w:rsid w:val="00F71918"/>
    <w:rsid w:val="00FA09D6"/>
    <w:rsid w:val="00FA3A87"/>
    <w:rsid w:val="00FC4A4F"/>
    <w:rsid w:val="00FC5848"/>
    <w:rsid w:val="00FC7C5B"/>
    <w:rsid w:val="00FE0FC6"/>
    <w:rsid w:val="00FE288F"/>
    <w:rsid w:val="00FE3E61"/>
    <w:rsid w:val="05352B25"/>
    <w:rsid w:val="0DDA1988"/>
    <w:rsid w:val="0F404978"/>
    <w:rsid w:val="12C23349"/>
    <w:rsid w:val="1682628A"/>
    <w:rsid w:val="17365E81"/>
    <w:rsid w:val="19BB5890"/>
    <w:rsid w:val="2D2625D8"/>
    <w:rsid w:val="3D083D58"/>
    <w:rsid w:val="41EF2A70"/>
    <w:rsid w:val="463B3026"/>
    <w:rsid w:val="4F332BF8"/>
    <w:rsid w:val="524B05F3"/>
    <w:rsid w:val="642212DF"/>
    <w:rsid w:val="64F503AE"/>
    <w:rsid w:val="74B84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keepNext/>
      <w:widowControl/>
      <w:jc w:val="center"/>
      <w:outlineLvl w:val="0"/>
    </w:pPr>
    <w:rPr>
      <w:rFonts w:eastAsia="Arial"/>
      <w:b/>
      <w:kern w:val="0"/>
      <w:sz w:val="24"/>
      <w:lang w:val="da-DK" w:eastAsia="en-GB"/>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4"/>
    <w:basedOn w:val="1"/>
    <w:next w:val="1"/>
    <w:autoRedefine/>
    <w:qFormat/>
    <w:uiPriority w:val="39"/>
    <w:pPr>
      <w:ind w:left="1260" w:leftChars="600"/>
    </w:pPr>
    <w:rPr>
      <w:szCs w:val="24"/>
    </w:rPr>
  </w:style>
  <w:style w:type="paragraph" w:styleId="5">
    <w:name w:val="annotation text"/>
    <w:basedOn w:val="1"/>
    <w:link w:val="24"/>
    <w:autoRedefine/>
    <w:semiHidden/>
    <w:qFormat/>
    <w:uiPriority w:val="0"/>
    <w:pPr>
      <w:jc w:val="left"/>
    </w:pPr>
  </w:style>
  <w:style w:type="paragraph" w:styleId="6">
    <w:name w:val="Body Text"/>
    <w:basedOn w:val="1"/>
    <w:link w:val="19"/>
    <w:autoRedefine/>
    <w:semiHidden/>
    <w:unhideWhenUsed/>
    <w:uiPriority w:val="99"/>
    <w:pPr>
      <w:spacing w:after="120"/>
    </w:pPr>
  </w:style>
  <w:style w:type="paragraph" w:styleId="7">
    <w:name w:val="Balloon Text"/>
    <w:basedOn w:val="1"/>
    <w:link w:val="26"/>
    <w:autoRedefine/>
    <w:semiHidden/>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8"/>
    <w:autoRedefine/>
    <w:qFormat/>
    <w:uiPriority w:val="0"/>
    <w:rPr>
      <w:b/>
      <w:bCs/>
    </w:rPr>
  </w:style>
  <w:style w:type="table" w:styleId="12">
    <w:name w:val="Table Grid"/>
    <w:basedOn w:val="11"/>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autoRedefine/>
    <w:qFormat/>
    <w:uiPriority w:val="99"/>
    <w:rPr>
      <w:sz w:val="18"/>
      <w:szCs w:val="18"/>
    </w:rPr>
  </w:style>
  <w:style w:type="character" w:customStyle="1" w:styleId="15">
    <w:name w:val="页脚 Char"/>
    <w:basedOn w:val="13"/>
    <w:link w:val="8"/>
    <w:autoRedefine/>
    <w:qFormat/>
    <w:uiPriority w:val="99"/>
    <w:rPr>
      <w:sz w:val="18"/>
      <w:szCs w:val="18"/>
    </w:rPr>
  </w:style>
  <w:style w:type="character" w:customStyle="1" w:styleId="16">
    <w:name w:val="标题 1 Char"/>
    <w:basedOn w:val="13"/>
    <w:link w:val="3"/>
    <w:autoRedefine/>
    <w:qFormat/>
    <w:uiPriority w:val="0"/>
    <w:rPr>
      <w:rFonts w:ascii="Times New Roman" w:hAnsi="Times New Roman" w:eastAsia="Arial" w:cs="Times New Roman"/>
      <w:b/>
      <w:kern w:val="0"/>
      <w:sz w:val="24"/>
      <w:szCs w:val="20"/>
      <w:lang w:val="da-DK" w:eastAsia="en-GB"/>
    </w:rPr>
  </w:style>
  <w:style w:type="paragraph" w:customStyle="1" w:styleId="17">
    <w:name w:val="正文1"/>
    <w:basedOn w:val="1"/>
    <w:autoRedefine/>
    <w:qFormat/>
    <w:uiPriority w:val="0"/>
    <w:pPr>
      <w:spacing w:line="312" w:lineRule="auto"/>
      <w:ind w:firstLine="200" w:firstLineChars="200"/>
    </w:pPr>
    <w:rPr>
      <w:lang w:val="zh-CN"/>
    </w:rPr>
  </w:style>
  <w:style w:type="paragraph" w:styleId="18">
    <w:name w:val="List Paragraph"/>
    <w:basedOn w:val="1"/>
    <w:autoRedefine/>
    <w:qFormat/>
    <w:uiPriority w:val="0"/>
    <w:pPr>
      <w:ind w:firstLine="420" w:firstLineChars="200"/>
    </w:pPr>
    <w:rPr>
      <w:rFonts w:ascii="Calibri" w:hAnsi="Calibri"/>
      <w:szCs w:val="22"/>
    </w:rPr>
  </w:style>
  <w:style w:type="character" w:customStyle="1" w:styleId="19">
    <w:name w:val="正文文本 Char"/>
    <w:basedOn w:val="13"/>
    <w:link w:val="6"/>
    <w:autoRedefine/>
    <w:semiHidden/>
    <w:qFormat/>
    <w:uiPriority w:val="99"/>
    <w:rPr>
      <w:rFonts w:ascii="Times New Roman" w:hAnsi="Times New Roman" w:eastAsia="宋体" w:cs="Times New Roman"/>
      <w:szCs w:val="20"/>
    </w:rPr>
  </w:style>
  <w:style w:type="character" w:customStyle="1" w:styleId="20">
    <w:name w:val="Text Char"/>
    <w:link w:val="21"/>
    <w:autoRedefine/>
    <w:qFormat/>
    <w:locked/>
    <w:uiPriority w:val="0"/>
    <w:rPr>
      <w:rFonts w:eastAsia="宋体"/>
      <w:sz w:val="24"/>
      <w:lang w:eastAsia="en-US"/>
    </w:rPr>
  </w:style>
  <w:style w:type="paragraph" w:customStyle="1" w:styleId="21">
    <w:name w:val="Text"/>
    <w:basedOn w:val="1"/>
    <w:link w:val="20"/>
    <w:autoRedefine/>
    <w:qFormat/>
    <w:uiPriority w:val="0"/>
    <w:pPr>
      <w:widowControl/>
      <w:spacing w:before="120"/>
    </w:pPr>
    <w:rPr>
      <w:rFonts w:asciiTheme="minorHAnsi" w:hAnsiTheme="minorHAnsi" w:cstheme="minorBidi"/>
      <w:sz w:val="24"/>
      <w:szCs w:val="22"/>
      <w:lang w:eastAsia="en-US"/>
    </w:rPr>
  </w:style>
  <w:style w:type="character" w:customStyle="1" w:styleId="22">
    <w:name w:val="标题 2 Char"/>
    <w:basedOn w:val="13"/>
    <w:link w:val="4"/>
    <w:autoRedefine/>
    <w:qFormat/>
    <w:uiPriority w:val="0"/>
    <w:rPr>
      <w:rFonts w:ascii="Arial" w:hAnsi="Arial" w:eastAsia="黑体" w:cs="Times New Roman"/>
      <w:b/>
      <w:bCs/>
      <w:sz w:val="32"/>
      <w:szCs w:val="32"/>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批注文字 Char"/>
    <w:basedOn w:val="13"/>
    <w:link w:val="5"/>
    <w:autoRedefine/>
    <w:semiHidden/>
    <w:qFormat/>
    <w:uiPriority w:val="0"/>
    <w:rPr>
      <w:rFonts w:ascii="Times New Roman" w:hAnsi="Times New Roman" w:eastAsia="宋体" w:cs="Times New Roman"/>
      <w:szCs w:val="20"/>
    </w:rPr>
  </w:style>
  <w:style w:type="paragraph" w:customStyle="1" w:styleId="25">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6">
    <w:name w:val="批注框文本 Char"/>
    <w:basedOn w:val="13"/>
    <w:link w:val="7"/>
    <w:autoRedefine/>
    <w:semiHidden/>
    <w:qFormat/>
    <w:uiPriority w:val="99"/>
    <w:rPr>
      <w:rFonts w:ascii="Times New Roman" w:hAnsi="Times New Roman" w:eastAsia="宋体" w:cs="Times New Roman"/>
      <w:sz w:val="18"/>
      <w:szCs w:val="18"/>
    </w:rPr>
  </w:style>
  <w:style w:type="character" w:customStyle="1" w:styleId="27">
    <w:name w:val="Text Char Char"/>
    <w:autoRedefine/>
    <w:qFormat/>
    <w:uiPriority w:val="0"/>
    <w:rPr>
      <w:sz w:val="24"/>
      <w:lang w:eastAsia="en-US"/>
    </w:rPr>
  </w:style>
  <w:style w:type="character" w:customStyle="1" w:styleId="28">
    <w:name w:val="批注主题 Char"/>
    <w:basedOn w:val="24"/>
    <w:link w:val="10"/>
    <w:autoRedefine/>
    <w:qFormat/>
    <w:uiPriority w:val="0"/>
    <w:rPr>
      <w:b/>
      <w:bCs/>
    </w:rPr>
  </w:style>
  <w:style w:type="paragraph" w:customStyle="1" w:styleId="29">
    <w:name w:val="List Paragraph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83DA8-1214-418E-9D1B-8D77612EDE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426</Words>
  <Characters>2431</Characters>
  <Lines>20</Lines>
  <Paragraphs>5</Paragraphs>
  <TotalTime>65</TotalTime>
  <ScaleCrop>false</ScaleCrop>
  <LinksUpToDate>false</LinksUpToDate>
  <CharactersWithSpaces>2852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2023-12-26T03:01:00Z</dcterms:created>
  <dc:creator>123</dc:creator>
  <cp:lastModifiedBy>Administrator</cp:lastModifiedBy>
  <cp:lastPrinted>2023-12-26T06:44:00Z</cp:lastPrinted>
  <dcterms:modified xsi:type="dcterms:W3CDTF">2023-12-28T00:34:51Z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04BB8741776644B68B9F02ACF6823832</vt:lpwstr>
  </property>
</Properties>
</file>