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jc w:val="center"/>
        <w:rPr>
          <w:rFonts w:ascii="宋体" w:hAnsi="宋体"/>
          <w:b/>
          <w:sz w:val="52"/>
          <w:szCs w:val="52"/>
        </w:rPr>
      </w:pPr>
      <w:r>
        <w:rPr>
          <w:rFonts w:hint="eastAsia" w:ascii="宋体" w:hAnsi="宋体"/>
          <w:b/>
          <w:sz w:val="52"/>
          <w:szCs w:val="52"/>
        </w:rPr>
        <w:t>广州白云山明兴制药有限公司</w:t>
      </w:r>
    </w:p>
    <w:p>
      <w:pPr>
        <w:pStyle w:val="4"/>
        <w:jc w:val="center"/>
        <w:rPr>
          <w:rFonts w:ascii="宋体" w:hAnsi="宋体"/>
          <w:b/>
          <w:sz w:val="52"/>
          <w:szCs w:val="52"/>
        </w:rPr>
      </w:pPr>
      <w:r>
        <w:rPr>
          <w:rFonts w:hint="eastAsia" w:ascii="宋体" w:hAnsi="宋体"/>
          <w:b/>
          <w:sz w:val="52"/>
          <w:szCs w:val="52"/>
          <w:lang w:val="en-US" w:eastAsia="zh-CN"/>
        </w:rPr>
        <w:t>2000L/H双效</w:t>
      </w:r>
      <w:r>
        <w:rPr>
          <w:rFonts w:hint="eastAsia" w:ascii="宋体" w:hAnsi="宋体"/>
          <w:b/>
          <w:sz w:val="52"/>
          <w:szCs w:val="52"/>
        </w:rPr>
        <w:t>浓缩器采购项目</w:t>
      </w:r>
    </w:p>
    <w:p>
      <w:pPr>
        <w:spacing w:line="300" w:lineRule="auto"/>
        <w:rPr>
          <w:rFonts w:ascii="宋体" w:hAnsi="宋体"/>
          <w:b/>
          <w:color w:val="000000"/>
          <w:sz w:val="24"/>
        </w:rPr>
      </w:pPr>
    </w:p>
    <w:p>
      <w:pPr>
        <w:spacing w:line="300" w:lineRule="auto"/>
        <w:rPr>
          <w:rFonts w:ascii="宋体" w:hAnsi="宋体"/>
          <w:b/>
          <w:color w:val="000000"/>
          <w:sz w:val="24"/>
        </w:rPr>
      </w:pPr>
    </w:p>
    <w:p>
      <w:pPr>
        <w:spacing w:before="120" w:after="120"/>
        <w:jc w:val="center"/>
        <w:rPr>
          <w:rFonts w:ascii="宋体" w:hAnsi="宋体"/>
          <w:color w:val="000000"/>
          <w:w w:val="150"/>
          <w:sz w:val="72"/>
          <w:szCs w:val="72"/>
        </w:rPr>
      </w:pPr>
      <w:r>
        <w:rPr>
          <w:rFonts w:hint="eastAsia" w:ascii="宋体" w:hAnsi="宋体"/>
          <w:color w:val="000000"/>
          <w:w w:val="150"/>
          <w:sz w:val="72"/>
          <w:szCs w:val="72"/>
        </w:rPr>
        <w:t>招</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件</w:t>
      </w:r>
    </w:p>
    <w:p>
      <w:pPr>
        <w:spacing w:before="120" w:after="120"/>
        <w:jc w:val="center"/>
        <w:rPr>
          <w:rFonts w:ascii="宋体" w:hAnsi="宋体"/>
          <w:b/>
          <w:color w:val="000000"/>
          <w:sz w:val="24"/>
        </w:rPr>
      </w:pPr>
    </w:p>
    <w:p>
      <w:pPr>
        <w:spacing w:before="120" w:after="120" w:line="300" w:lineRule="auto"/>
        <w:jc w:val="center"/>
        <w:rPr>
          <w:rFonts w:ascii="宋体" w:hAnsi="宋体"/>
          <w:bCs/>
          <w:color w:val="000000"/>
          <w:sz w:val="36"/>
          <w:szCs w:val="36"/>
        </w:rPr>
      </w:pPr>
      <w:r>
        <w:rPr>
          <w:rFonts w:hint="eastAsia" w:ascii="宋体" w:hAnsi="宋体"/>
          <w:bCs/>
          <w:color w:val="000000"/>
          <w:sz w:val="36"/>
          <w:szCs w:val="36"/>
        </w:rPr>
        <w:t>广州白云山明兴制药有限公司</w:t>
      </w:r>
    </w:p>
    <w:p>
      <w:pPr>
        <w:spacing w:before="120" w:after="120" w:line="300" w:lineRule="auto"/>
        <w:jc w:val="center"/>
        <w:rPr>
          <w:rFonts w:ascii="宋体" w:hAnsi="宋体"/>
          <w:color w:val="000000"/>
          <w:sz w:val="36"/>
          <w:szCs w:val="36"/>
        </w:rPr>
      </w:pPr>
      <w:r>
        <w:rPr>
          <w:rFonts w:hint="eastAsia" w:ascii="宋体" w:hAnsi="宋体"/>
          <w:color w:val="000000"/>
          <w:sz w:val="36"/>
          <w:szCs w:val="36"/>
        </w:rPr>
        <w:t>20</w:t>
      </w:r>
      <w:r>
        <w:rPr>
          <w:rFonts w:hint="eastAsia" w:ascii="宋体" w:hAnsi="宋体"/>
          <w:color w:val="000000"/>
          <w:sz w:val="36"/>
          <w:szCs w:val="36"/>
          <w:lang w:val="en-US" w:eastAsia="zh-CN"/>
        </w:rPr>
        <w:t>24</w:t>
      </w:r>
      <w:r>
        <w:rPr>
          <w:rFonts w:hint="eastAsia" w:ascii="宋体" w:hAnsi="宋体"/>
          <w:color w:val="000000"/>
          <w:sz w:val="36"/>
          <w:szCs w:val="36"/>
        </w:rPr>
        <w:t>年</w:t>
      </w:r>
      <w:r>
        <w:rPr>
          <w:rFonts w:hint="eastAsia" w:ascii="宋体" w:hAnsi="宋体"/>
          <w:color w:val="000000"/>
          <w:sz w:val="36"/>
          <w:szCs w:val="36"/>
          <w:lang w:val="en-US" w:eastAsia="zh-CN"/>
        </w:rPr>
        <w:t>1</w:t>
      </w:r>
      <w:r>
        <w:rPr>
          <w:rFonts w:hint="eastAsia" w:ascii="宋体" w:hAnsi="宋体"/>
          <w:color w:val="000000"/>
          <w:sz w:val="36"/>
          <w:szCs w:val="36"/>
        </w:rPr>
        <w:t xml:space="preserve">月  </w:t>
      </w: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r>
        <w:rPr>
          <w:rFonts w:hint="eastAsia" w:ascii="宋体" w:hAnsi="宋体"/>
          <w:b/>
          <w:color w:val="000000"/>
          <w:kern w:val="28"/>
          <w:sz w:val="32"/>
        </w:rPr>
        <w:t>投标邀请函</w:t>
      </w:r>
    </w:p>
    <w:p>
      <w:pPr>
        <w:spacing w:after="120" w:line="360" w:lineRule="auto"/>
        <w:ind w:firstLine="543" w:firstLineChars="193"/>
        <w:jc w:val="both"/>
        <w:rPr>
          <w:rFonts w:ascii="宋体" w:hAnsi="宋体"/>
          <w:color w:val="000000"/>
          <w:kern w:val="28"/>
          <w:sz w:val="28"/>
          <w:szCs w:val="28"/>
        </w:rPr>
      </w:pPr>
      <w:r>
        <w:rPr>
          <w:rFonts w:hint="eastAsia" w:ascii="宋体" w:hAnsi="宋体"/>
          <w:b/>
          <w:color w:val="000000"/>
          <w:sz w:val="28"/>
          <w:szCs w:val="28"/>
        </w:rPr>
        <w:t>广州白云山明兴制药有限公司“</w:t>
      </w:r>
      <w:r>
        <w:rPr>
          <w:rFonts w:hint="eastAsia" w:ascii="宋体" w:hAnsi="宋体"/>
          <w:b/>
          <w:color w:val="000000"/>
          <w:sz w:val="28"/>
          <w:szCs w:val="28"/>
          <w:lang w:val="en-US" w:eastAsia="zh-CN"/>
        </w:rPr>
        <w:t>2000L/H双</w:t>
      </w:r>
      <w:r>
        <w:rPr>
          <w:rFonts w:hint="eastAsia" w:ascii="宋体" w:hAnsi="宋体"/>
          <w:b/>
          <w:color w:val="000000"/>
          <w:sz w:val="28"/>
          <w:szCs w:val="28"/>
        </w:rPr>
        <w:t>效浓缩器购置”项目，</w:t>
      </w:r>
      <w:r>
        <w:rPr>
          <w:rFonts w:hint="eastAsia" w:ascii="宋体" w:hAnsi="宋体"/>
          <w:color w:val="000000"/>
          <w:kern w:val="28"/>
          <w:sz w:val="28"/>
          <w:szCs w:val="28"/>
        </w:rPr>
        <w:t>进行公开招标，欢迎国内有能力的合格投标人提交密封投标文件。有关事项如下：</w:t>
      </w:r>
    </w:p>
    <w:p>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hint="eastAsia" w:ascii="宋体" w:hAnsi="宋体" w:cs="Tahoma"/>
          <w:b/>
          <w:sz w:val="28"/>
          <w:szCs w:val="28"/>
        </w:rPr>
        <w:t>项目概况：</w:t>
      </w:r>
    </w:p>
    <w:p>
      <w:pPr>
        <w:spacing w:line="360" w:lineRule="auto"/>
        <w:jc w:val="both"/>
        <w:rPr>
          <w:rFonts w:ascii="宋体" w:hAnsi="宋体"/>
          <w:sz w:val="28"/>
          <w:szCs w:val="28"/>
        </w:rPr>
      </w:pPr>
      <w:r>
        <w:rPr>
          <w:rFonts w:ascii="宋体" w:hAnsi="宋体"/>
          <w:color w:val="000000"/>
          <w:sz w:val="28"/>
          <w:szCs w:val="28"/>
        </w:rPr>
        <w:t>1.1</w:t>
      </w:r>
      <w:r>
        <w:rPr>
          <w:rFonts w:hint="eastAsia" w:ascii="宋体" w:hAnsi="宋体"/>
          <w:color w:val="000000"/>
          <w:sz w:val="28"/>
          <w:szCs w:val="28"/>
        </w:rPr>
        <w:t>招标内容及范围：购</w:t>
      </w:r>
      <w:r>
        <w:rPr>
          <w:rFonts w:hint="eastAsia" w:ascii="宋体" w:hAnsi="宋体"/>
          <w:b w:val="0"/>
          <w:bCs/>
          <w:color w:val="000000"/>
          <w:sz w:val="28"/>
          <w:szCs w:val="28"/>
        </w:rPr>
        <w:t>置一</w:t>
      </w:r>
      <w:r>
        <w:rPr>
          <w:rFonts w:hint="eastAsia" w:ascii="宋体" w:hAnsi="宋体"/>
          <w:b w:val="0"/>
          <w:bCs/>
          <w:color w:val="000000"/>
          <w:sz w:val="28"/>
          <w:szCs w:val="28"/>
          <w:lang w:eastAsia="zh-CN"/>
        </w:rPr>
        <w:t>套</w:t>
      </w:r>
      <w:r>
        <w:rPr>
          <w:rFonts w:hint="eastAsia" w:ascii="宋体" w:hAnsi="宋体"/>
          <w:b w:val="0"/>
          <w:bCs/>
          <w:color w:val="000000"/>
          <w:sz w:val="28"/>
          <w:szCs w:val="28"/>
          <w:lang w:val="en-US" w:eastAsia="zh-CN"/>
        </w:rPr>
        <w:t>2000L/H双</w:t>
      </w:r>
      <w:r>
        <w:rPr>
          <w:rFonts w:hint="eastAsia" w:ascii="宋体" w:hAnsi="宋体"/>
          <w:b w:val="0"/>
          <w:bCs/>
          <w:color w:val="000000"/>
          <w:sz w:val="28"/>
          <w:szCs w:val="28"/>
        </w:rPr>
        <w:t>效浓缩器</w:t>
      </w:r>
      <w:r>
        <w:rPr>
          <w:rFonts w:hint="eastAsia"/>
          <w:sz w:val="28"/>
          <w:szCs w:val="28"/>
        </w:rPr>
        <w:t>，</w:t>
      </w:r>
      <w:r>
        <w:rPr>
          <w:rFonts w:hint="eastAsia" w:ascii="宋体" w:hAnsi="宋体"/>
          <w:kern w:val="28"/>
          <w:sz w:val="28"/>
          <w:szCs w:val="28"/>
        </w:rPr>
        <w:t>以及设备安装、调试、培训等及相关服务</w:t>
      </w:r>
      <w:r>
        <w:rPr>
          <w:rFonts w:hint="eastAsia"/>
          <w:sz w:val="28"/>
          <w:szCs w:val="28"/>
        </w:rPr>
        <w:t>。</w:t>
      </w:r>
    </w:p>
    <w:p>
      <w:pPr>
        <w:spacing w:line="360" w:lineRule="auto"/>
        <w:jc w:val="both"/>
        <w:rPr>
          <w:sz w:val="28"/>
          <w:szCs w:val="28"/>
        </w:rPr>
      </w:pPr>
      <w:r>
        <w:rPr>
          <w:rFonts w:ascii="宋体" w:hAnsi="宋体"/>
          <w:color w:val="000000"/>
          <w:sz w:val="28"/>
          <w:szCs w:val="28"/>
        </w:rPr>
        <w:t>1.2</w:t>
      </w:r>
      <w:r>
        <w:rPr>
          <w:rFonts w:hint="eastAsia" w:ascii="宋体" w:hAnsi="宋体"/>
          <w:color w:val="000000"/>
          <w:sz w:val="28"/>
          <w:szCs w:val="28"/>
        </w:rPr>
        <w:t>资金来源：企业自筹。</w:t>
      </w:r>
    </w:p>
    <w:p>
      <w:pPr>
        <w:spacing w:line="360" w:lineRule="auto"/>
        <w:jc w:val="both"/>
        <w:rPr>
          <w:sz w:val="28"/>
          <w:szCs w:val="28"/>
        </w:rPr>
      </w:pPr>
      <w:r>
        <w:rPr>
          <w:rFonts w:ascii="宋体" w:hAnsi="宋体"/>
          <w:color w:val="000000"/>
          <w:sz w:val="28"/>
          <w:szCs w:val="28"/>
        </w:rPr>
        <w:t>1.3</w:t>
      </w:r>
      <w:r>
        <w:rPr>
          <w:rFonts w:hint="eastAsia"/>
          <w:sz w:val="28"/>
          <w:szCs w:val="28"/>
        </w:rPr>
        <w:t>项目实施地点：广州市海珠区工业大道北48号广州白云山明兴制药有限公司制造二部8号楼</w:t>
      </w:r>
      <w:r>
        <w:rPr>
          <w:rFonts w:hint="eastAsia"/>
          <w:sz w:val="28"/>
          <w:szCs w:val="28"/>
          <w:lang w:eastAsia="zh-CN"/>
        </w:rPr>
        <w:t>首层</w:t>
      </w:r>
      <w:r>
        <w:rPr>
          <w:rFonts w:hint="eastAsia"/>
          <w:sz w:val="28"/>
          <w:szCs w:val="28"/>
        </w:rPr>
        <w:t>。</w:t>
      </w:r>
    </w:p>
    <w:p>
      <w:pPr>
        <w:spacing w:line="360" w:lineRule="auto"/>
        <w:jc w:val="both"/>
        <w:rPr>
          <w:rFonts w:ascii="宋体" w:hAnsi="宋体"/>
          <w:sz w:val="28"/>
          <w:szCs w:val="28"/>
        </w:rPr>
      </w:pPr>
      <w:r>
        <w:rPr>
          <w:rFonts w:hint="eastAsia" w:ascii="宋体" w:hAnsi="宋体"/>
          <w:color w:val="000000"/>
          <w:sz w:val="28"/>
          <w:szCs w:val="28"/>
        </w:rPr>
        <w:t>1.4</w:t>
      </w:r>
      <w:r>
        <w:rPr>
          <w:rFonts w:hint="eastAsia" w:ascii="宋体" w:hAnsi="宋体"/>
          <w:sz w:val="28"/>
          <w:szCs w:val="28"/>
        </w:rPr>
        <w:t>投标人应对本项目所有招标货物和服务进行报价，不允许只对部分货物和服务投标报价。</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 xml:space="preserve">2.合格的投标人 </w:t>
      </w:r>
    </w:p>
    <w:p>
      <w:pPr>
        <w:tabs>
          <w:tab w:val="left" w:pos="540"/>
        </w:tabs>
        <w:spacing w:line="360" w:lineRule="auto"/>
        <w:ind w:left="540" w:hanging="540"/>
        <w:jc w:val="both"/>
        <w:rPr>
          <w:rFonts w:ascii="宋体" w:hAnsi="宋体"/>
          <w:spacing w:val="10"/>
          <w:sz w:val="28"/>
          <w:szCs w:val="28"/>
        </w:rPr>
      </w:pPr>
      <w:r>
        <w:rPr>
          <w:rFonts w:hint="eastAsia" w:ascii="宋体" w:hAnsi="宋体"/>
          <w:spacing w:val="10"/>
          <w:sz w:val="28"/>
          <w:szCs w:val="28"/>
        </w:rPr>
        <w:t>2.1</w:t>
      </w:r>
      <w:r>
        <w:rPr>
          <w:rFonts w:hint="eastAsia" w:ascii="宋体" w:hAnsi="宋体"/>
          <w:sz w:val="28"/>
          <w:szCs w:val="28"/>
        </w:rPr>
        <w:t>投标人必须</w:t>
      </w:r>
      <w:r>
        <w:rPr>
          <w:rFonts w:hint="eastAsia" w:ascii="宋体" w:hAnsi="宋体"/>
          <w:spacing w:val="10"/>
          <w:sz w:val="28"/>
          <w:szCs w:val="28"/>
        </w:rPr>
        <w:t>是独立于招标人和招标代理机构的在中华人民共和国注册的独立法人机构；</w:t>
      </w:r>
    </w:p>
    <w:p>
      <w:pPr>
        <w:tabs>
          <w:tab w:val="left" w:pos="540"/>
        </w:tabs>
        <w:spacing w:line="360" w:lineRule="auto"/>
        <w:ind w:left="360" w:hanging="360"/>
        <w:rPr>
          <w:rFonts w:ascii="宋体" w:hAnsi="宋体"/>
          <w:spacing w:val="10"/>
          <w:sz w:val="28"/>
          <w:szCs w:val="28"/>
        </w:rPr>
      </w:pPr>
      <w:r>
        <w:rPr>
          <w:rFonts w:hint="eastAsia" w:ascii="宋体" w:hAnsi="宋体"/>
          <w:spacing w:val="10"/>
          <w:sz w:val="28"/>
          <w:szCs w:val="28"/>
        </w:rPr>
        <w:t>2.2必须是本次招标货物的主要制造商</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2.3投标人必须具有设备现场安装、调试、维修能力，具有完成本次招标合同、为本次招标货物提供长期售后服务和长期提供备品备件的能力。</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2.4本项目不接受联合体投标。</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3、获取招标文件</w:t>
      </w:r>
    </w:p>
    <w:p>
      <w:pPr>
        <w:spacing w:line="360" w:lineRule="auto"/>
        <w:ind w:left="300" w:hanging="300"/>
        <w:jc w:val="both"/>
        <w:rPr>
          <w:rFonts w:ascii="宋体" w:hAnsi="宋体"/>
          <w:sz w:val="28"/>
          <w:szCs w:val="28"/>
        </w:rPr>
      </w:pPr>
      <w:r>
        <w:rPr>
          <w:rFonts w:hint="eastAsia" w:ascii="宋体" w:hAnsi="宋体"/>
          <w:sz w:val="28"/>
          <w:szCs w:val="28"/>
        </w:rPr>
        <w:t>3.1标书挂网时间</w:t>
      </w:r>
      <w:r>
        <w:rPr>
          <w:rFonts w:hint="eastAsia" w:ascii="宋体" w:hAnsi="宋体"/>
          <w:color w:val="000000"/>
          <w:sz w:val="28"/>
          <w:szCs w:val="28"/>
        </w:rPr>
        <w:t>：202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olor w:val="000000"/>
          <w:sz w:val="28"/>
          <w:szCs w:val="28"/>
          <w:lang w:val="en-US" w:eastAsia="zh-CN"/>
        </w:rPr>
        <w:t>12</w:t>
      </w:r>
      <w:r>
        <w:rPr>
          <w:rFonts w:hint="eastAsia" w:ascii="宋体" w:hAnsi="宋体"/>
          <w:color w:val="000000"/>
          <w:sz w:val="28"/>
          <w:szCs w:val="28"/>
        </w:rPr>
        <w:t>日9:00。</w:t>
      </w:r>
    </w:p>
    <w:p>
      <w:pPr>
        <w:tabs>
          <w:tab w:val="left" w:pos="6915"/>
        </w:tabs>
        <w:spacing w:line="360" w:lineRule="auto"/>
        <w:ind w:left="300" w:hanging="300"/>
        <w:jc w:val="both"/>
        <w:rPr>
          <w:rFonts w:ascii="宋体" w:hAnsi="宋体"/>
          <w:sz w:val="28"/>
          <w:szCs w:val="28"/>
        </w:rPr>
      </w:pPr>
      <w:r>
        <w:rPr>
          <w:rFonts w:hint="eastAsia" w:ascii="宋体" w:hAnsi="宋体"/>
          <w:sz w:val="28"/>
          <w:szCs w:val="28"/>
        </w:rPr>
        <w:t>3.2发放方式：广州白云山明兴制药有限公司网站。</w:t>
      </w:r>
      <w:r>
        <w:rPr>
          <w:rFonts w:ascii="宋体" w:hAnsi="宋体"/>
          <w:sz w:val="28"/>
          <w:szCs w:val="28"/>
        </w:rPr>
        <w:tab/>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4、拦标价：</w:t>
      </w:r>
      <w:r>
        <w:rPr>
          <w:rFonts w:hint="eastAsia" w:ascii="宋体" w:hAnsi="宋体" w:cs="Tahoma"/>
          <w:b/>
          <w:sz w:val="28"/>
          <w:szCs w:val="28"/>
          <w:lang w:val="en-US" w:eastAsia="zh-CN"/>
        </w:rPr>
        <w:t>30</w:t>
      </w:r>
      <w:r>
        <w:rPr>
          <w:rFonts w:hint="eastAsia" w:ascii="宋体" w:hAnsi="宋体" w:cs="Tahoma"/>
          <w:sz w:val="28"/>
          <w:szCs w:val="28"/>
        </w:rPr>
        <w:t>万元（大写：人民币</w:t>
      </w:r>
      <w:r>
        <w:rPr>
          <w:rFonts w:hint="eastAsia" w:ascii="宋体" w:hAnsi="宋体" w:cs="Tahoma"/>
          <w:sz w:val="28"/>
          <w:szCs w:val="28"/>
          <w:lang w:val="en-US" w:eastAsia="zh-CN"/>
        </w:rPr>
        <w:t>叁</w:t>
      </w:r>
      <w:r>
        <w:rPr>
          <w:rFonts w:hint="eastAsia" w:ascii="宋体" w:hAnsi="宋体" w:cs="Tahoma"/>
          <w:sz w:val="28"/>
          <w:szCs w:val="28"/>
        </w:rPr>
        <w:t>拾万元整）</w:t>
      </w:r>
    </w:p>
    <w:p>
      <w:pPr>
        <w:snapToGrid w:val="0"/>
        <w:spacing w:beforeLines="50" w:line="360" w:lineRule="auto"/>
        <w:rPr>
          <w:rFonts w:ascii="宋体" w:hAnsi="宋体" w:cs="Tahoma"/>
          <w:b/>
          <w:sz w:val="28"/>
          <w:szCs w:val="28"/>
        </w:rPr>
      </w:pPr>
      <w:r>
        <w:rPr>
          <w:rFonts w:hint="eastAsia" w:ascii="宋体" w:hAnsi="宋体" w:cs="Tahoma"/>
          <w:b/>
          <w:sz w:val="28"/>
          <w:szCs w:val="28"/>
        </w:rPr>
        <w:t>5、投标文件的收取</w:t>
      </w:r>
    </w:p>
    <w:p>
      <w:pPr>
        <w:spacing w:line="360" w:lineRule="auto"/>
        <w:jc w:val="both"/>
        <w:rPr>
          <w:rFonts w:ascii="宋体" w:hAnsi="宋体"/>
          <w:color w:val="000000"/>
          <w:sz w:val="28"/>
          <w:szCs w:val="28"/>
        </w:rPr>
      </w:pPr>
      <w:r>
        <w:rPr>
          <w:rFonts w:hint="eastAsia" w:ascii="宋体" w:hAnsi="宋体"/>
          <w:sz w:val="28"/>
          <w:szCs w:val="28"/>
        </w:rPr>
        <w:t>5.1递交投标文件时</w:t>
      </w:r>
      <w:r>
        <w:rPr>
          <w:rFonts w:hint="eastAsia" w:ascii="宋体" w:hAnsi="宋体"/>
          <w:color w:val="000000"/>
          <w:sz w:val="28"/>
          <w:szCs w:val="28"/>
        </w:rPr>
        <w:t>间为</w:t>
      </w:r>
      <w:r>
        <w:rPr>
          <w:rFonts w:hint="eastAsia"/>
          <w:color w:val="333333"/>
          <w:sz w:val="29"/>
          <w:szCs w:val="29"/>
          <w:shd w:val="clear" w:color="auto" w:fill="FFFFFF"/>
        </w:rPr>
        <w:t>202</w:t>
      </w:r>
      <w:r>
        <w:rPr>
          <w:rFonts w:hint="eastAsia"/>
          <w:color w:val="333333"/>
          <w:sz w:val="29"/>
          <w:szCs w:val="29"/>
          <w:shd w:val="clear" w:color="auto" w:fill="FFFFFF"/>
          <w:lang w:val="en-US" w:eastAsia="zh-CN"/>
        </w:rPr>
        <w:t>4</w:t>
      </w:r>
      <w:r>
        <w:rPr>
          <w:rFonts w:hint="eastAsia"/>
          <w:color w:val="333333"/>
          <w:sz w:val="29"/>
          <w:szCs w:val="29"/>
          <w:shd w:val="clear" w:color="auto" w:fill="FFFFFF"/>
        </w:rPr>
        <w:t>年</w:t>
      </w:r>
      <w:r>
        <w:rPr>
          <w:rFonts w:hint="eastAsia"/>
          <w:color w:val="333333"/>
          <w:sz w:val="29"/>
          <w:szCs w:val="29"/>
          <w:shd w:val="clear" w:color="auto" w:fill="FFFFFF"/>
          <w:lang w:val="en-US" w:eastAsia="zh-CN"/>
        </w:rPr>
        <w:t>1</w:t>
      </w:r>
      <w:r>
        <w:rPr>
          <w:rFonts w:hint="eastAsia"/>
          <w:color w:val="333333"/>
          <w:sz w:val="29"/>
          <w:szCs w:val="29"/>
          <w:shd w:val="clear" w:color="auto" w:fill="FFFFFF"/>
        </w:rPr>
        <w:t>月</w:t>
      </w:r>
      <w:r>
        <w:rPr>
          <w:rFonts w:hint="eastAsia"/>
          <w:color w:val="333333"/>
          <w:sz w:val="29"/>
          <w:szCs w:val="29"/>
          <w:shd w:val="clear" w:color="auto" w:fill="FFFFFF"/>
          <w:lang w:val="en-US" w:eastAsia="zh-CN"/>
        </w:rPr>
        <w:t>12</w:t>
      </w:r>
      <w:r>
        <w:rPr>
          <w:rFonts w:hint="eastAsia"/>
          <w:color w:val="333333"/>
          <w:sz w:val="29"/>
          <w:szCs w:val="29"/>
          <w:shd w:val="clear" w:color="auto" w:fill="FFFFFF"/>
        </w:rPr>
        <w:t>日9:00到20</w:t>
      </w:r>
      <w:r>
        <w:rPr>
          <w:rFonts w:hint="eastAsia"/>
          <w:color w:val="333333"/>
          <w:sz w:val="29"/>
          <w:szCs w:val="29"/>
          <w:shd w:val="clear" w:color="auto" w:fill="FFFFFF"/>
          <w:lang w:val="en-US" w:eastAsia="zh-CN"/>
        </w:rPr>
        <w:t>24</w:t>
      </w:r>
      <w:r>
        <w:rPr>
          <w:rFonts w:hint="eastAsia"/>
          <w:color w:val="333333"/>
          <w:sz w:val="29"/>
          <w:szCs w:val="29"/>
          <w:shd w:val="clear" w:color="auto" w:fill="FFFFFF"/>
        </w:rPr>
        <w:t>年</w:t>
      </w:r>
      <w:r>
        <w:rPr>
          <w:rFonts w:hint="eastAsia"/>
          <w:color w:val="333333"/>
          <w:sz w:val="29"/>
          <w:szCs w:val="29"/>
          <w:shd w:val="clear" w:color="auto" w:fill="FFFFFF"/>
          <w:lang w:val="en-US" w:eastAsia="zh-CN"/>
        </w:rPr>
        <w:t>1</w:t>
      </w:r>
      <w:r>
        <w:rPr>
          <w:rFonts w:hint="eastAsia"/>
          <w:color w:val="333333"/>
          <w:sz w:val="29"/>
          <w:szCs w:val="29"/>
          <w:shd w:val="clear" w:color="auto" w:fill="FFFFFF"/>
        </w:rPr>
        <w:t>月1</w:t>
      </w:r>
      <w:r>
        <w:rPr>
          <w:rFonts w:hint="eastAsia"/>
          <w:color w:val="333333"/>
          <w:sz w:val="29"/>
          <w:szCs w:val="29"/>
          <w:shd w:val="clear" w:color="auto" w:fill="FFFFFF"/>
          <w:lang w:val="en-US" w:eastAsia="zh-CN"/>
        </w:rPr>
        <w:t>8</w:t>
      </w:r>
      <w:r>
        <w:rPr>
          <w:rFonts w:hint="eastAsia"/>
          <w:color w:val="333333"/>
          <w:sz w:val="29"/>
          <w:szCs w:val="29"/>
          <w:shd w:val="clear" w:color="auto" w:fill="FFFFFF"/>
        </w:rPr>
        <w:t>日17:00</w:t>
      </w:r>
      <w:r>
        <w:rPr>
          <w:rFonts w:hint="eastAsia" w:ascii="宋体" w:hAnsi="宋体"/>
          <w:color w:val="000000"/>
          <w:sz w:val="28"/>
          <w:szCs w:val="28"/>
        </w:rPr>
        <w:t>（北京时间）。</w:t>
      </w:r>
    </w:p>
    <w:p>
      <w:pPr>
        <w:spacing w:line="360" w:lineRule="auto"/>
        <w:ind w:left="315" w:hanging="315"/>
        <w:jc w:val="both"/>
        <w:rPr>
          <w:rFonts w:ascii="宋体" w:hAnsi="宋体"/>
          <w:sz w:val="28"/>
          <w:szCs w:val="28"/>
        </w:rPr>
      </w:pPr>
      <w:r>
        <w:rPr>
          <w:rFonts w:hint="eastAsia" w:ascii="宋体" w:hAnsi="宋体"/>
          <w:color w:val="000000"/>
          <w:sz w:val="28"/>
          <w:szCs w:val="28"/>
        </w:rPr>
        <w:t>5.2投标截止时间为202</w:t>
      </w:r>
      <w:r>
        <w:rPr>
          <w:rFonts w:hint="eastAsia" w:ascii="宋体" w:hAnsi="宋体"/>
          <w:color w:val="000000"/>
          <w:sz w:val="28"/>
          <w:szCs w:val="28"/>
          <w:lang w:val="en-US" w:eastAsia="zh-CN"/>
        </w:rPr>
        <w:t>3</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月1</w:t>
      </w:r>
      <w:r>
        <w:rPr>
          <w:rFonts w:hint="eastAsia" w:ascii="宋体" w:hAnsi="宋体"/>
          <w:color w:val="000000"/>
          <w:sz w:val="28"/>
          <w:szCs w:val="28"/>
          <w:lang w:val="en-US" w:eastAsia="zh-CN"/>
        </w:rPr>
        <w:t>8</w:t>
      </w:r>
      <w:r>
        <w:rPr>
          <w:rFonts w:hint="eastAsia" w:ascii="宋体" w:hAnsi="宋体"/>
          <w:color w:val="000000"/>
          <w:sz w:val="28"/>
          <w:szCs w:val="28"/>
        </w:rPr>
        <w:t>日17:00（北京时间）</w:t>
      </w:r>
      <w:r>
        <w:rPr>
          <w:rFonts w:hint="eastAsia" w:ascii="宋体" w:hAnsi="宋体"/>
          <w:sz w:val="28"/>
          <w:szCs w:val="28"/>
        </w:rPr>
        <w:t>。</w:t>
      </w:r>
    </w:p>
    <w:p>
      <w:pPr>
        <w:spacing w:line="360" w:lineRule="auto"/>
        <w:jc w:val="both"/>
        <w:rPr>
          <w:rFonts w:ascii="宋体" w:hAnsi="宋体"/>
          <w:sz w:val="28"/>
          <w:szCs w:val="28"/>
        </w:rPr>
      </w:pPr>
      <w:r>
        <w:rPr>
          <w:rFonts w:hint="eastAsia" w:ascii="宋体" w:hAnsi="宋体"/>
          <w:sz w:val="28"/>
          <w:szCs w:val="28"/>
        </w:rPr>
        <w:t>5.3 地址：广州市海珠区工业大道北48号</w:t>
      </w:r>
    </w:p>
    <w:p>
      <w:pPr>
        <w:tabs>
          <w:tab w:val="left" w:pos="0"/>
        </w:tabs>
        <w:autoSpaceDE w:val="0"/>
        <w:autoSpaceDN w:val="0"/>
        <w:spacing w:line="360" w:lineRule="auto"/>
        <w:jc w:val="both"/>
        <w:textAlignment w:val="bottom"/>
        <w:rPr>
          <w:rFonts w:ascii="宋体" w:hAnsi="宋体"/>
          <w:sz w:val="28"/>
          <w:szCs w:val="28"/>
        </w:rPr>
      </w:pPr>
      <w:r>
        <w:rPr>
          <w:rFonts w:hint="eastAsia" w:ascii="宋体" w:hAnsi="宋体"/>
          <w:sz w:val="28"/>
          <w:szCs w:val="28"/>
        </w:rPr>
        <w:t>5.4</w:t>
      </w:r>
      <w:r>
        <w:rPr>
          <w:rFonts w:hint="eastAsia" w:ascii="宋体" w:hAnsi="宋体"/>
          <w:sz w:val="28"/>
          <w:szCs w:val="28"/>
          <w:lang w:val="en-US" w:eastAsia="zh-CN"/>
        </w:rPr>
        <w:t xml:space="preserve"> </w:t>
      </w:r>
      <w:r>
        <w:rPr>
          <w:rFonts w:hint="eastAsia" w:ascii="宋体" w:hAnsi="宋体"/>
          <w:sz w:val="28"/>
          <w:szCs w:val="28"/>
        </w:rPr>
        <w:t xml:space="preserve">收件人：黄浩贤 </w:t>
      </w:r>
      <w:r>
        <w:rPr>
          <w:rFonts w:ascii="宋体" w:hAnsi="宋体"/>
          <w:sz w:val="28"/>
          <w:szCs w:val="28"/>
        </w:rPr>
        <w:t>020-</w:t>
      </w:r>
      <w:r>
        <w:rPr>
          <w:rFonts w:hint="eastAsia" w:ascii="宋体" w:hAnsi="宋体"/>
          <w:sz w:val="28"/>
          <w:szCs w:val="28"/>
        </w:rPr>
        <w:t>84366714</w:t>
      </w:r>
    </w:p>
    <w:p>
      <w:pPr>
        <w:snapToGrid w:val="0"/>
        <w:spacing w:beforeLines="50" w:line="360" w:lineRule="auto"/>
        <w:rPr>
          <w:rFonts w:ascii="宋体" w:hAnsi="宋体" w:cs="Tahoma"/>
          <w:kern w:val="28"/>
          <w:sz w:val="28"/>
          <w:szCs w:val="28"/>
        </w:rPr>
      </w:pPr>
      <w:r>
        <w:rPr>
          <w:rFonts w:hint="eastAsia" w:ascii="宋体" w:hAnsi="宋体" w:cs="Tahoma"/>
          <w:b/>
          <w:sz w:val="28"/>
          <w:szCs w:val="28"/>
        </w:rPr>
        <w:t>6、投标保证金：</w:t>
      </w:r>
      <w:r>
        <w:rPr>
          <w:rFonts w:hint="eastAsia" w:ascii="宋体" w:hAnsi="宋体" w:cs="Tahoma"/>
          <w:b/>
          <w:kern w:val="28"/>
          <w:sz w:val="28"/>
          <w:szCs w:val="28"/>
        </w:rPr>
        <w:t>无</w:t>
      </w:r>
      <w:bookmarkStart w:id="0" w:name="_GoBack"/>
      <w:bookmarkEnd w:id="0"/>
    </w:p>
    <w:p>
      <w:pPr>
        <w:snapToGrid w:val="0"/>
        <w:spacing w:beforeLines="50" w:line="360" w:lineRule="auto"/>
        <w:rPr>
          <w:rFonts w:ascii="宋体" w:hAnsi="宋体" w:cs="Tahoma"/>
          <w:b/>
          <w:sz w:val="28"/>
          <w:szCs w:val="28"/>
        </w:rPr>
      </w:pPr>
      <w:r>
        <w:rPr>
          <w:rFonts w:hint="eastAsia" w:ascii="宋体" w:hAnsi="宋体" w:cs="Tahoma"/>
          <w:b/>
          <w:sz w:val="28"/>
          <w:szCs w:val="28"/>
        </w:rPr>
        <w:t>7、开标时间和地点：</w:t>
      </w:r>
    </w:p>
    <w:p>
      <w:pPr>
        <w:snapToGrid w:val="0"/>
        <w:spacing w:beforeLines="50" w:line="360" w:lineRule="auto"/>
        <w:rPr>
          <w:rFonts w:ascii="宋体" w:hAnsi="宋体" w:cs="Tahoma"/>
          <w:kern w:val="28"/>
          <w:sz w:val="28"/>
          <w:szCs w:val="28"/>
        </w:rPr>
      </w:pPr>
      <w:r>
        <w:rPr>
          <w:rFonts w:hint="eastAsia" w:ascii="宋体" w:hAnsi="宋体"/>
          <w:sz w:val="28"/>
          <w:szCs w:val="28"/>
        </w:rPr>
        <w:t>7.1开</w:t>
      </w:r>
      <w:r>
        <w:rPr>
          <w:rFonts w:hint="eastAsia" w:ascii="宋体" w:hAnsi="宋体" w:cs="Tahoma"/>
          <w:kern w:val="28"/>
          <w:sz w:val="28"/>
          <w:szCs w:val="28"/>
        </w:rPr>
        <w:t>标时间：</w:t>
      </w:r>
      <w:r>
        <w:rPr>
          <w:rFonts w:hint="eastAsia" w:ascii="宋体" w:hAnsi="宋体" w:cs="Tahoma"/>
          <w:color w:val="000000"/>
          <w:kern w:val="28"/>
          <w:sz w:val="28"/>
          <w:szCs w:val="28"/>
        </w:rPr>
        <w:t>待定</w:t>
      </w:r>
    </w:p>
    <w:p>
      <w:pPr>
        <w:snapToGrid w:val="0"/>
        <w:spacing w:beforeLines="50" w:line="360" w:lineRule="auto"/>
        <w:rPr>
          <w:rFonts w:ascii="宋体" w:hAnsi="宋体"/>
          <w:sz w:val="28"/>
          <w:szCs w:val="28"/>
        </w:rPr>
      </w:pPr>
      <w:r>
        <w:rPr>
          <w:rFonts w:hint="eastAsia" w:ascii="宋体" w:hAnsi="宋体" w:cs="Tahoma"/>
          <w:kern w:val="28"/>
          <w:sz w:val="28"/>
          <w:szCs w:val="28"/>
        </w:rPr>
        <w:t>7.2开标地点：</w:t>
      </w:r>
      <w:r>
        <w:rPr>
          <w:rFonts w:hint="eastAsia" w:ascii="宋体" w:hAnsi="宋体"/>
          <w:sz w:val="28"/>
          <w:szCs w:val="28"/>
        </w:rPr>
        <w:t>广州市海珠区工业大道北48号广州白云山明兴制药有限公司</w:t>
      </w:r>
    </w:p>
    <w:p>
      <w:pPr>
        <w:snapToGrid w:val="0"/>
        <w:spacing w:beforeLines="50" w:line="360" w:lineRule="auto"/>
        <w:ind w:left="616" w:hanging="616" w:hangingChars="219"/>
        <w:rPr>
          <w:rFonts w:ascii="宋体" w:hAnsi="宋体"/>
          <w:b/>
          <w:sz w:val="28"/>
          <w:szCs w:val="28"/>
        </w:rPr>
      </w:pPr>
      <w:r>
        <w:rPr>
          <w:rFonts w:hint="eastAsia" w:ascii="宋体" w:hAnsi="宋体" w:cs="Tahoma"/>
          <w:b/>
          <w:sz w:val="28"/>
          <w:szCs w:val="28"/>
        </w:rPr>
        <w:t>8、</w:t>
      </w:r>
      <w:r>
        <w:rPr>
          <w:rFonts w:hint="eastAsia" w:ascii="宋体" w:hAnsi="宋体"/>
          <w:b/>
          <w:sz w:val="28"/>
          <w:szCs w:val="28"/>
        </w:rPr>
        <w:t>招标人将不承担投标人准备投标文件和递交投标文件以及参加本次投标活动所发生的任何成本或费用。</w:t>
      </w:r>
    </w:p>
    <w:p>
      <w:pPr>
        <w:spacing w:line="360" w:lineRule="auto"/>
        <w:jc w:val="both"/>
        <w:rPr>
          <w:rFonts w:ascii="宋体"/>
          <w:b/>
          <w:sz w:val="28"/>
          <w:szCs w:val="28"/>
        </w:rPr>
      </w:pPr>
      <w:r>
        <w:rPr>
          <w:rFonts w:hint="eastAsia" w:ascii="宋体" w:hAnsi="宋体" w:cs="Tahoma"/>
          <w:b/>
          <w:sz w:val="28"/>
          <w:szCs w:val="28"/>
        </w:rPr>
        <w:t>9、招标人：</w:t>
      </w:r>
      <w:r>
        <w:rPr>
          <w:rFonts w:hint="eastAsia" w:ascii="宋体"/>
          <w:b/>
          <w:sz w:val="28"/>
          <w:szCs w:val="28"/>
        </w:rPr>
        <w:t>广州白云山明兴制药有限公司</w:t>
      </w:r>
    </w:p>
    <w:p>
      <w:pPr>
        <w:spacing w:line="360" w:lineRule="auto"/>
        <w:ind w:firstLine="719" w:firstLineChars="257"/>
        <w:jc w:val="both"/>
        <w:rPr>
          <w:rFonts w:ascii="宋体" w:hAnsi="宋体"/>
          <w:sz w:val="28"/>
          <w:szCs w:val="28"/>
        </w:rPr>
      </w:pPr>
      <w:r>
        <w:rPr>
          <w:rFonts w:hint="eastAsia" w:ascii="宋体" w:hAnsi="宋体"/>
          <w:sz w:val="28"/>
          <w:szCs w:val="28"/>
        </w:rPr>
        <w:t>地</w:t>
      </w:r>
      <w:r>
        <w:rPr>
          <w:rFonts w:ascii="宋体" w:hAnsi="宋体"/>
          <w:sz w:val="28"/>
          <w:szCs w:val="28"/>
        </w:rPr>
        <w:t xml:space="preserve">      址：广州市</w:t>
      </w:r>
      <w:r>
        <w:rPr>
          <w:rFonts w:hint="eastAsia" w:ascii="宋体" w:hAnsi="宋体"/>
          <w:sz w:val="28"/>
          <w:szCs w:val="28"/>
        </w:rPr>
        <w:t>海珠区工业大道北48号</w:t>
      </w:r>
    </w:p>
    <w:p>
      <w:pPr>
        <w:spacing w:line="360" w:lineRule="auto"/>
        <w:ind w:firstLine="719" w:firstLineChars="257"/>
        <w:jc w:val="both"/>
        <w:rPr>
          <w:rFonts w:ascii="宋体" w:hAnsi="宋体"/>
          <w:sz w:val="28"/>
          <w:szCs w:val="28"/>
        </w:rPr>
      </w:pPr>
      <w:r>
        <w:rPr>
          <w:rFonts w:hint="eastAsia" w:ascii="宋体" w:hAnsi="宋体"/>
          <w:sz w:val="28"/>
          <w:szCs w:val="28"/>
        </w:rPr>
        <w:t>电</w:t>
      </w:r>
      <w:r>
        <w:rPr>
          <w:rFonts w:ascii="宋体" w:hAnsi="宋体"/>
          <w:sz w:val="28"/>
          <w:szCs w:val="28"/>
        </w:rPr>
        <w:t xml:space="preserve">      话：020-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传</w:t>
      </w:r>
      <w:r>
        <w:rPr>
          <w:rFonts w:ascii="宋体" w:hAnsi="宋体"/>
          <w:sz w:val="28"/>
          <w:szCs w:val="28"/>
        </w:rPr>
        <w:t xml:space="preserve">      真： 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联</w:t>
      </w:r>
      <w:r>
        <w:rPr>
          <w:rFonts w:ascii="宋体" w:hAnsi="宋体"/>
          <w:sz w:val="28"/>
          <w:szCs w:val="28"/>
        </w:rPr>
        <w:t xml:space="preserve">  系  人：</w:t>
      </w:r>
      <w:r>
        <w:rPr>
          <w:rFonts w:hint="eastAsia" w:ascii="宋体" w:hAnsi="宋体"/>
          <w:sz w:val="28"/>
          <w:szCs w:val="28"/>
        </w:rPr>
        <w:t xml:space="preserve"> 黄浩贤</w:t>
      </w:r>
    </w:p>
    <w:p>
      <w:pPr>
        <w:spacing w:line="360" w:lineRule="auto"/>
        <w:ind w:firstLine="8191" w:firstLineChars="2914"/>
        <w:jc w:val="both"/>
        <w:rPr>
          <w:rFonts w:ascii="宋体" w:hAnsi="宋体"/>
          <w:b/>
          <w:color w:val="000000"/>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rPr>
      </w:pPr>
    </w:p>
    <w:p>
      <w:pPr>
        <w:spacing w:line="360" w:lineRule="auto"/>
        <w:jc w:val="center"/>
        <w:rPr>
          <w:rFonts w:ascii="宋体" w:hAnsi="宋体"/>
          <w:b/>
          <w:color w:val="000000"/>
        </w:rPr>
      </w:pPr>
      <w:r>
        <w:rPr>
          <w:rFonts w:hint="eastAsia" w:ascii="宋体" w:hAnsi="宋体"/>
          <w:b/>
          <w:color w:val="000000"/>
        </w:rPr>
        <w:t>评标方法</w:t>
      </w:r>
    </w:p>
    <w:p>
      <w:pPr>
        <w:numPr>
          <w:ilvl w:val="0"/>
          <w:numId w:val="1"/>
        </w:numPr>
        <w:spacing w:line="360" w:lineRule="auto"/>
        <w:rPr>
          <w:rFonts w:ascii="宋体" w:hAnsi="宋体"/>
          <w:b/>
        </w:rPr>
      </w:pPr>
      <w:r>
        <w:rPr>
          <w:rFonts w:hint="eastAsia" w:ascii="宋体" w:hAnsi="宋体"/>
          <w:b/>
          <w:color w:val="000000"/>
        </w:rPr>
        <w:t>评审规则</w:t>
      </w:r>
    </w:p>
    <w:p>
      <w:pPr>
        <w:widowControl w:val="0"/>
        <w:numPr>
          <w:ilvl w:val="1"/>
          <w:numId w:val="1"/>
        </w:numPr>
        <w:spacing w:line="360" w:lineRule="auto"/>
        <w:jc w:val="both"/>
        <w:rPr>
          <w:rFonts w:ascii="宋体" w:hAnsi="宋体"/>
          <w:color w:val="000000"/>
        </w:rPr>
      </w:pPr>
      <w:r>
        <w:rPr>
          <w:rFonts w:hint="eastAsia" w:ascii="宋体" w:hAnsi="宋体"/>
        </w:rPr>
        <w:t>本评标办法采用综合评分法。</w:t>
      </w:r>
    </w:p>
    <w:p>
      <w:pPr>
        <w:widowControl w:val="0"/>
        <w:numPr>
          <w:ilvl w:val="1"/>
          <w:numId w:val="1"/>
        </w:numPr>
        <w:spacing w:line="360" w:lineRule="auto"/>
        <w:jc w:val="both"/>
        <w:rPr>
          <w:rFonts w:ascii="宋体" w:hAnsi="宋体"/>
          <w:color w:val="000000"/>
        </w:rPr>
      </w:pPr>
      <w:r>
        <w:rPr>
          <w:rFonts w:hint="eastAsia" w:ascii="宋体" w:hAnsi="宋体"/>
        </w:rPr>
        <w:t>评标步骤：先进</w:t>
      </w:r>
      <w:r>
        <w:rPr>
          <w:rFonts w:hint="eastAsia" w:ascii="宋体"/>
        </w:rPr>
        <w:t>行初步评审，再进行技术商务及价格的详细评审。只有通过初步评审的</w:t>
      </w:r>
      <w:r>
        <w:rPr>
          <w:rFonts w:hint="eastAsia" w:ascii="宋体" w:hAnsi="宋体"/>
          <w:color w:val="000000"/>
        </w:rPr>
        <w:t>投标才能进入详细的评审。</w:t>
      </w:r>
    </w:p>
    <w:p>
      <w:pPr>
        <w:widowControl w:val="0"/>
        <w:numPr>
          <w:ilvl w:val="1"/>
          <w:numId w:val="1"/>
        </w:numPr>
        <w:spacing w:line="360" w:lineRule="auto"/>
        <w:jc w:val="both"/>
        <w:rPr>
          <w:rFonts w:ascii="宋体" w:hAnsi="宋体"/>
          <w:b/>
          <w:color w:val="000000"/>
        </w:rPr>
      </w:pPr>
      <w:r>
        <w:rPr>
          <w:rFonts w:hint="eastAsia" w:ascii="宋体" w:hAnsi="宋体"/>
          <w:color w:val="000000"/>
        </w:rPr>
        <w:t>评分及其统计：</w:t>
      </w:r>
      <w:r>
        <w:rPr>
          <w:rFonts w:hint="eastAsia" w:ascii="宋体"/>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pPr>
        <w:numPr>
          <w:ilvl w:val="0"/>
          <w:numId w:val="1"/>
        </w:numPr>
        <w:spacing w:line="360" w:lineRule="auto"/>
        <w:rPr>
          <w:rFonts w:ascii="宋体" w:hAnsi="宋体"/>
          <w:b/>
          <w:color w:val="000000"/>
        </w:rPr>
      </w:pPr>
      <w:r>
        <w:rPr>
          <w:rFonts w:hint="eastAsia" w:ascii="宋体" w:hAnsi="宋体"/>
          <w:b/>
          <w:color w:val="000000"/>
        </w:rPr>
        <w:t>资格评审</w:t>
      </w:r>
    </w:p>
    <w:p>
      <w:pPr>
        <w:numPr>
          <w:ilvl w:val="1"/>
          <w:numId w:val="1"/>
        </w:numPr>
        <w:spacing w:line="360" w:lineRule="auto"/>
        <w:jc w:val="both"/>
        <w:rPr>
          <w:rFonts w:ascii="宋体" w:hAnsi="宋体"/>
          <w:color w:val="000000"/>
        </w:rPr>
      </w:pPr>
      <w:r>
        <w:rPr>
          <w:rFonts w:hint="eastAsia" w:ascii="宋体" w:hAnsi="宋体"/>
          <w:color w:val="000000"/>
        </w:rPr>
        <w:t>评标委员会按照《初步审查表》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pPr>
        <w:pStyle w:val="2"/>
        <w:numPr>
          <w:ilvl w:val="1"/>
          <w:numId w:val="1"/>
        </w:numPr>
        <w:rPr>
          <w:rFonts w:hAnsi="宋体"/>
          <w:color w:val="000000"/>
        </w:rPr>
      </w:pPr>
      <w:r>
        <w:rPr>
          <w:rFonts w:hint="eastAsia" w:hAnsi="宋体"/>
          <w:color w:val="000000"/>
        </w:rPr>
        <w:t>评标委员会将审查投标文件是否完整、有关资格证明文件是否齐全有效、文件签署是否合格、投标有效期是否满足要求等。</w:t>
      </w:r>
    </w:p>
    <w:p>
      <w:pPr>
        <w:pStyle w:val="9"/>
        <w:numPr>
          <w:ilvl w:val="1"/>
          <w:numId w:val="1"/>
        </w:numPr>
        <w:ind w:firstLineChars="0"/>
        <w:jc w:val="both"/>
        <w:rPr>
          <w:rFonts w:ascii="宋体"/>
          <w:color w:val="000000"/>
        </w:rPr>
      </w:pPr>
      <w:r>
        <w:rPr>
          <w:rFonts w:hint="eastAsia" w:ascii="宋体"/>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pPr>
        <w:pStyle w:val="9"/>
        <w:numPr>
          <w:ilvl w:val="1"/>
          <w:numId w:val="1"/>
        </w:numPr>
        <w:ind w:firstLineChars="0"/>
        <w:jc w:val="both"/>
        <w:rPr>
          <w:rFonts w:ascii="宋体"/>
          <w:color w:val="000000"/>
        </w:rPr>
      </w:pPr>
      <w:r>
        <w:rPr>
          <w:rFonts w:hint="eastAsia" w:ascii="宋体"/>
          <w:color w:val="000000"/>
          <w:szCs w:val="21"/>
        </w:rPr>
        <w:t>评标委员会将审查</w:t>
      </w:r>
      <w:r>
        <w:rPr>
          <w:rFonts w:hint="eastAsia" w:ascii="宋体"/>
          <w:b/>
          <w:color w:val="000000"/>
          <w:szCs w:val="21"/>
        </w:rPr>
        <w:t>实质</w:t>
      </w:r>
      <w:r>
        <w:rPr>
          <w:rFonts w:hint="eastAsia" w:ascii="宋体"/>
          <w:color w:val="000000"/>
          <w:szCs w:val="21"/>
        </w:rPr>
        <w:t>参加投标人数是否够3家</w:t>
      </w:r>
      <w:r>
        <w:rPr>
          <w:rFonts w:hint="eastAsia" w:ascii="宋体"/>
          <w:color w:val="000000"/>
          <w:szCs w:val="22"/>
        </w:rPr>
        <w:t>，以决定是否需废标。</w:t>
      </w:r>
    </w:p>
    <w:p>
      <w:pPr>
        <w:numPr>
          <w:ilvl w:val="1"/>
          <w:numId w:val="1"/>
        </w:numPr>
        <w:spacing w:line="360" w:lineRule="auto"/>
        <w:jc w:val="both"/>
        <w:rPr>
          <w:rFonts w:ascii="宋体" w:hAnsi="宋体"/>
          <w:color w:val="000000"/>
        </w:rPr>
      </w:pPr>
      <w:r>
        <w:rPr>
          <w:rFonts w:hint="eastAsia" w:ascii="宋体" w:hAnsi="宋体"/>
          <w:color w:val="000000"/>
        </w:rPr>
        <w:t>无效投标的认定</w:t>
      </w:r>
    </w:p>
    <w:p>
      <w:pPr>
        <w:tabs>
          <w:tab w:val="left" w:pos="1030"/>
        </w:tabs>
        <w:spacing w:line="360" w:lineRule="auto"/>
        <w:ind w:left="721"/>
        <w:jc w:val="both"/>
        <w:rPr>
          <w:rFonts w:ascii="宋体" w:hAnsi="宋体"/>
          <w:color w:val="000000"/>
        </w:rPr>
      </w:pPr>
      <w:r>
        <w:rPr>
          <w:rFonts w:hint="eastAsia" w:ascii="宋体" w:hAnsi="宋体"/>
          <w:color w:val="000000"/>
        </w:rPr>
        <w:t>按《初步审查表》（见附表1）所列各项，评标委员会认为投标文件不满足招标文件要求的，将被认定为无效投标。</w:t>
      </w:r>
    </w:p>
    <w:p>
      <w:pPr>
        <w:numPr>
          <w:ilvl w:val="0"/>
          <w:numId w:val="1"/>
        </w:numPr>
        <w:spacing w:line="360" w:lineRule="auto"/>
        <w:rPr>
          <w:rFonts w:ascii="宋体" w:hAnsi="宋体"/>
          <w:b/>
          <w:color w:val="000000"/>
        </w:rPr>
      </w:pPr>
      <w:r>
        <w:rPr>
          <w:rFonts w:hint="eastAsia" w:ascii="宋体" w:hAnsi="宋体"/>
          <w:b/>
          <w:color w:val="000000"/>
        </w:rPr>
        <w:t>详细评审</w:t>
      </w:r>
    </w:p>
    <w:p>
      <w:pPr>
        <w:pStyle w:val="9"/>
        <w:numPr>
          <w:ilvl w:val="1"/>
          <w:numId w:val="2"/>
        </w:numPr>
        <w:ind w:firstLineChars="0"/>
        <w:jc w:val="both"/>
        <w:rPr>
          <w:rFonts w:ascii="宋体"/>
          <w:color w:val="000000"/>
        </w:rPr>
      </w:pPr>
      <w:r>
        <w:rPr>
          <w:rFonts w:hint="eastAsia" w:ascii="宋体"/>
          <w:color w:val="000000"/>
        </w:rPr>
        <w:t>详细评审</w:t>
      </w:r>
      <w:r>
        <w:rPr>
          <w:rFonts w:hint="eastAsia" w:ascii="宋体"/>
          <w:color w:val="000000"/>
          <w:szCs w:val="22"/>
        </w:rPr>
        <w:t>是对通过初步评</w:t>
      </w:r>
      <w:r>
        <w:rPr>
          <w:rFonts w:hint="eastAsia" w:ascii="宋体"/>
          <w:color w:val="000000"/>
        </w:rPr>
        <w:t>审的投标进行技术商务和价格的评审。</w:t>
      </w:r>
    </w:p>
    <w:p>
      <w:pPr>
        <w:pStyle w:val="9"/>
        <w:numPr>
          <w:ilvl w:val="1"/>
          <w:numId w:val="2"/>
        </w:numPr>
        <w:ind w:firstLineChars="0"/>
        <w:jc w:val="both"/>
        <w:rPr>
          <w:rFonts w:ascii="宋体"/>
          <w:color w:val="000000"/>
        </w:rPr>
      </w:pPr>
      <w:r>
        <w:rPr>
          <w:rFonts w:hint="eastAsia" w:ascii="宋体"/>
          <w:color w:val="000000"/>
        </w:rPr>
        <w:t>技术商务评分详见技术商务评审表附表2 。</w:t>
      </w:r>
    </w:p>
    <w:p>
      <w:pPr>
        <w:pStyle w:val="9"/>
        <w:numPr>
          <w:ilvl w:val="1"/>
          <w:numId w:val="2"/>
        </w:numPr>
        <w:ind w:firstLineChars="0"/>
        <w:jc w:val="both"/>
        <w:rPr>
          <w:rFonts w:ascii="宋体"/>
        </w:rPr>
      </w:pPr>
      <w:r>
        <w:rPr>
          <w:rFonts w:hint="eastAsia" w:ascii="宋体"/>
          <w:b/>
          <w:color w:val="000000"/>
        </w:rPr>
        <w:t>投标报价评审</w:t>
      </w:r>
      <w:r>
        <w:rPr>
          <w:rFonts w:hint="eastAsia" w:ascii="宋体"/>
          <w:color w:val="00000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630" w:right="0" w:firstLine="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价格得分：所有通过初步评审的投标人进入价格评审，取所有进入价格评审的投标人投标价格的算术平均数作为基准价，等于基准价得满分40分。其他投标人的投标价格的价格得分计算见下公式，最低分为0分：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高于基准价：价格得分=[100—100×（投标价格</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—基准价）∕基准价]×40%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低于基准价：价格得分=[100—50×（基准价</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—投标价格）∕基准价]×40%</w:t>
      </w:r>
    </w:p>
    <w:p>
      <w:pPr>
        <w:pStyle w:val="9"/>
        <w:ind w:firstLine="0" w:firstLineChars="0"/>
        <w:jc w:val="both"/>
        <w:rPr>
          <w:rFonts w:ascii="宋体"/>
        </w:rPr>
      </w:pPr>
      <w:r>
        <w:rPr>
          <w:rFonts w:hint="eastAsia" w:ascii="宋体"/>
        </w:rPr>
        <w:t xml:space="preserve">4.    </w:t>
      </w:r>
      <w:r>
        <w:rPr>
          <w:rFonts w:hint="eastAsia" w:ascii="宋体"/>
          <w:color w:val="000000"/>
        </w:rPr>
        <w:t>技</w:t>
      </w:r>
      <w:r>
        <w:rPr>
          <w:rFonts w:hint="eastAsia"/>
          <w:szCs w:val="22"/>
        </w:rPr>
        <w:t>术商务及价格权重分配：</w:t>
      </w:r>
      <w:r>
        <w:tab/>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8"/>
        <w:gridCol w:w="4337"/>
        <w:gridCol w:w="21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评审项目</w:t>
            </w:r>
          </w:p>
        </w:tc>
        <w:tc>
          <w:tcPr>
            <w:tcW w:w="4337" w:type="dxa"/>
            <w:vAlign w:val="center"/>
          </w:tcPr>
          <w:p>
            <w:pPr>
              <w:spacing w:line="360" w:lineRule="auto"/>
              <w:jc w:val="center"/>
              <w:rPr>
                <w:rFonts w:ascii="宋体" w:hAnsi="宋体"/>
              </w:rPr>
            </w:pPr>
            <w:r>
              <w:rPr>
                <w:rFonts w:hint="eastAsia" w:ascii="宋体" w:hAnsi="宋体"/>
              </w:rPr>
              <w:t>技术</w:t>
            </w:r>
          </w:p>
        </w:tc>
        <w:tc>
          <w:tcPr>
            <w:tcW w:w="2168" w:type="dxa"/>
            <w:vAlign w:val="center"/>
          </w:tcPr>
          <w:p>
            <w:pPr>
              <w:spacing w:line="360" w:lineRule="auto"/>
              <w:jc w:val="center"/>
              <w:rPr>
                <w:rFonts w:ascii="宋体" w:hAnsi="宋体"/>
              </w:rPr>
            </w:pPr>
            <w:r>
              <w:rPr>
                <w:rFonts w:hint="eastAsia" w:ascii="宋体" w:hAnsi="宋体"/>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权重</w:t>
            </w:r>
          </w:p>
        </w:tc>
        <w:tc>
          <w:tcPr>
            <w:tcW w:w="4337" w:type="dxa"/>
            <w:vAlign w:val="center"/>
          </w:tcPr>
          <w:p>
            <w:pPr>
              <w:spacing w:line="360" w:lineRule="auto"/>
              <w:jc w:val="center"/>
              <w:rPr>
                <w:rFonts w:ascii="宋体" w:hAnsi="宋体"/>
                <w:b/>
              </w:rPr>
            </w:pPr>
            <w:r>
              <w:rPr>
                <w:rFonts w:hint="eastAsia" w:ascii="宋体" w:hAnsi="宋体"/>
                <w:b/>
              </w:rPr>
              <w:t>60%</w:t>
            </w:r>
          </w:p>
        </w:tc>
        <w:tc>
          <w:tcPr>
            <w:tcW w:w="2168" w:type="dxa"/>
            <w:vAlign w:val="center"/>
          </w:tcPr>
          <w:p>
            <w:pPr>
              <w:spacing w:line="360" w:lineRule="auto"/>
              <w:jc w:val="center"/>
              <w:rPr>
                <w:rFonts w:ascii="宋体" w:hAnsi="宋体"/>
                <w:b/>
              </w:rPr>
            </w:pPr>
            <w:r>
              <w:rPr>
                <w:rFonts w:hint="eastAsia" w:ascii="宋体" w:hAnsi="宋体"/>
                <w:b/>
              </w:rPr>
              <w:t>40%</w:t>
            </w:r>
          </w:p>
        </w:tc>
      </w:tr>
    </w:tbl>
    <w:p>
      <w:pPr>
        <w:pStyle w:val="9"/>
        <w:ind w:firstLine="0" w:firstLineChars="0"/>
        <w:jc w:val="both"/>
        <w:rPr>
          <w:rFonts w:ascii="宋体"/>
        </w:rPr>
      </w:pPr>
      <w:r>
        <w:rPr>
          <w:rFonts w:hint="eastAsia" w:ascii="宋体"/>
        </w:rPr>
        <w:t>5.    根据上述技术商务的评分及其权重分配，代入下列公式计算各投标人的综合得分。</w:t>
      </w:r>
    </w:p>
    <w:p>
      <w:pPr>
        <w:pStyle w:val="9"/>
        <w:ind w:firstLine="630" w:firstLineChars="300"/>
        <w:jc w:val="both"/>
        <w:rPr>
          <w:rFonts w:ascii="宋体"/>
        </w:rPr>
      </w:pPr>
      <w:r>
        <w:rPr>
          <w:rFonts w:hint="eastAsia" w:ascii="宋体"/>
        </w:rPr>
        <w:t>综合得分=</w:t>
      </w:r>
      <w:r>
        <w:rPr>
          <w:rFonts w:hint="eastAsia"/>
          <w:szCs w:val="22"/>
        </w:rPr>
        <w:t>技术商务评分</w:t>
      </w:r>
      <w:r>
        <w:rPr>
          <w:rFonts w:hint="eastAsia" w:ascii="宋体"/>
        </w:rPr>
        <w:t>＋投标报价得分</w:t>
      </w:r>
    </w:p>
    <w:p>
      <w:pPr>
        <w:pStyle w:val="9"/>
        <w:ind w:firstLine="0" w:firstLineChars="0"/>
        <w:jc w:val="both"/>
      </w:pPr>
      <w:r>
        <w:rPr>
          <w:rFonts w:hint="eastAsia" w:ascii="宋体"/>
        </w:rPr>
        <w:t>6.    进入价格评审的各</w:t>
      </w:r>
      <w:r>
        <w:rPr>
          <w:rFonts w:hint="eastAsia"/>
        </w:rPr>
        <w:t>投标人的综合得分从高到低进行排名（综合得分相同时投标报价低者列前；综合得分及投标报价均相同时，技术指标优者列前）。</w:t>
      </w:r>
    </w:p>
    <w:p>
      <w:pPr>
        <w:pStyle w:val="2"/>
        <w:numPr>
          <w:ilvl w:val="1"/>
          <w:numId w:val="0"/>
        </w:numPr>
        <w:rPr>
          <w:rFonts w:hAnsi="宋体"/>
          <w:b/>
          <w:bCs/>
          <w:color w:val="000000"/>
        </w:rPr>
      </w:pPr>
      <w:r>
        <w:rPr>
          <w:rFonts w:hint="eastAsia" w:hAnsi="宋体"/>
          <w:b/>
          <w:bCs/>
          <w:color w:val="000000"/>
        </w:rPr>
        <w:t>四、投标文件的澄清</w:t>
      </w:r>
    </w:p>
    <w:p>
      <w:pPr>
        <w:pStyle w:val="2"/>
        <w:numPr>
          <w:ilvl w:val="1"/>
          <w:numId w:val="0"/>
        </w:numPr>
        <w:ind w:left="359" w:leftChars="1" w:hanging="357" w:hangingChars="170"/>
        <w:rPr>
          <w:rFonts w:hAnsi="宋体"/>
          <w:color w:val="000000"/>
        </w:rPr>
      </w:pPr>
      <w:r>
        <w:rPr>
          <w:rFonts w:hint="eastAsia" w:hAnsi="宋体"/>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pPr>
        <w:pStyle w:val="2"/>
        <w:numPr>
          <w:ilvl w:val="1"/>
          <w:numId w:val="0"/>
        </w:numPr>
        <w:ind w:left="359" w:hanging="359" w:hangingChars="171"/>
        <w:rPr>
          <w:rFonts w:hAnsi="宋体"/>
          <w:color w:val="000000"/>
        </w:rPr>
      </w:pPr>
      <w:r>
        <w:rPr>
          <w:rFonts w:hint="eastAsia" w:hAnsi="宋体"/>
          <w:color w:val="000000"/>
        </w:rPr>
        <w:t>2   评标委员会将允许修正投标文件中不构成实质性偏离的、微小的、非正规的不一致的或不规则的地方，但这些修正不能影响任何投标人相应的名次排序。</w:t>
      </w:r>
    </w:p>
    <w:p>
      <w:pPr>
        <w:pStyle w:val="2"/>
        <w:numPr>
          <w:ilvl w:val="1"/>
          <w:numId w:val="0"/>
        </w:numPr>
        <w:spacing w:afterLines="50"/>
        <w:ind w:left="359" w:hanging="359" w:hangingChars="171"/>
        <w:rPr>
          <w:rFonts w:hAnsi="宋体"/>
          <w:color w:val="000000"/>
        </w:rPr>
      </w:pPr>
      <w:r>
        <w:rPr>
          <w:rFonts w:hint="eastAsia" w:hAnsi="宋体"/>
          <w:color w:val="000000"/>
        </w:rPr>
        <w:t>3   如果投标人希望递交其他资料给评标委员会以引起其注意，则应以书面形式提交。</w:t>
      </w:r>
    </w:p>
    <w:p>
      <w:pPr>
        <w:spacing w:line="360" w:lineRule="auto"/>
        <w:rPr>
          <w:rFonts w:ascii="宋体" w:hAnsi="宋体"/>
          <w:b/>
          <w:bCs/>
          <w:color w:val="000000"/>
        </w:rPr>
      </w:pPr>
      <w:r>
        <w:rPr>
          <w:rFonts w:hint="eastAsia" w:ascii="宋体" w:hAnsi="宋体"/>
          <w:b/>
          <w:bCs/>
          <w:color w:val="000000"/>
        </w:rPr>
        <w:t>五、中标候选人</w:t>
      </w:r>
    </w:p>
    <w:p>
      <w:pPr>
        <w:widowControl w:val="0"/>
        <w:numPr>
          <w:ilvl w:val="1"/>
          <w:numId w:val="1"/>
        </w:numPr>
        <w:spacing w:line="360" w:lineRule="auto"/>
        <w:jc w:val="both"/>
        <w:rPr>
          <w:rFonts w:ascii="宋体" w:hAnsi="宋体"/>
          <w:b/>
          <w:bCs/>
          <w:color w:val="000000"/>
        </w:rPr>
      </w:pPr>
      <w:r>
        <w:rPr>
          <w:rFonts w:ascii="宋体" w:hAnsi="宋体"/>
        </w:rPr>
        <w:t>评标委员会将出具评标报告，并推荐</w:t>
      </w:r>
      <w:r>
        <w:rPr>
          <w:rFonts w:hint="eastAsia" w:ascii="宋体" w:hAnsi="宋体"/>
        </w:rPr>
        <w:t>综合得分第一名的投标人为第一</w:t>
      </w:r>
      <w:r>
        <w:rPr>
          <w:rFonts w:ascii="宋体" w:hAnsi="宋体"/>
        </w:rPr>
        <w:t>中标候选人</w:t>
      </w:r>
      <w:r>
        <w:rPr>
          <w:rFonts w:hint="eastAsia" w:ascii="宋体" w:hAnsi="宋体"/>
        </w:rPr>
        <w:t>，综合得分第二名的投标人为第二中标候选人</w:t>
      </w:r>
      <w:r>
        <w:rPr>
          <w:rFonts w:ascii="宋体" w:hAnsi="宋体"/>
        </w:rPr>
        <w:t>。</w:t>
      </w:r>
    </w:p>
    <w:p>
      <w:pPr>
        <w:widowControl w:val="0"/>
        <w:spacing w:line="360" w:lineRule="auto"/>
        <w:jc w:val="both"/>
        <w:rPr>
          <w:rFonts w:ascii="宋体" w:hAnsi="宋体"/>
          <w:b/>
          <w:bCs/>
          <w:color w:val="000000"/>
        </w:rPr>
      </w:pPr>
      <w:r>
        <w:rPr>
          <w:rFonts w:hint="eastAsia" w:ascii="宋体" w:hAnsi="宋体"/>
          <w:b/>
          <w:bCs/>
          <w:color w:val="000000"/>
        </w:rPr>
        <w:t>六、拒绝任何或所有投标的权利</w:t>
      </w:r>
    </w:p>
    <w:p>
      <w:pPr>
        <w:pStyle w:val="2"/>
        <w:numPr>
          <w:ilvl w:val="1"/>
          <w:numId w:val="0"/>
        </w:numPr>
        <w:rPr>
          <w:rFonts w:hAnsi="宋体"/>
          <w:color w:val="000000"/>
        </w:rPr>
      </w:pPr>
      <w:r>
        <w:rPr>
          <w:rFonts w:hint="eastAsia" w:hAnsi="宋体"/>
          <w:color w:val="000000"/>
        </w:rPr>
        <w:t>1   评标委员会经评审，认为所有投标都不符合招标文件要求的，可以否决所有投标。</w:t>
      </w:r>
    </w:p>
    <w:p>
      <w:pPr>
        <w:pStyle w:val="2"/>
        <w:numPr>
          <w:ilvl w:val="1"/>
          <w:numId w:val="0"/>
        </w:numPr>
        <w:ind w:left="359" w:hanging="359" w:hangingChars="171"/>
        <w:rPr>
          <w:rFonts w:hAnsi="宋体"/>
          <w:color w:val="000000"/>
        </w:rPr>
      </w:pPr>
      <w:r>
        <w:rPr>
          <w:rFonts w:hint="eastAsia" w:hAnsi="宋体"/>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pPr>
        <w:pStyle w:val="2"/>
        <w:numPr>
          <w:ilvl w:val="1"/>
          <w:numId w:val="0"/>
        </w:numPr>
        <w:rPr>
          <w:rFonts w:hAnsi="宋体"/>
          <w:color w:val="000000"/>
        </w:rPr>
        <w:sectPr>
          <w:footerReference r:id="rId4" w:type="default"/>
          <w:headerReference r:id="rId3" w:type="even"/>
          <w:footerReference r:id="rId5" w:type="even"/>
          <w:pgSz w:w="11907" w:h="16840"/>
          <w:pgMar w:top="1418" w:right="1191" w:bottom="1418" w:left="1361" w:header="737" w:footer="737" w:gutter="0"/>
          <w:cols w:space="720" w:num="1"/>
          <w:docGrid w:type="lines" w:linePitch="285" w:charSpace="0"/>
        </w:sectPr>
      </w:pPr>
    </w:p>
    <w:p>
      <w:pPr>
        <w:spacing w:afterLines="100"/>
        <w:rPr>
          <w:rFonts w:ascii="宋体" w:hAnsi="宋体"/>
          <w:color w:val="000000"/>
        </w:rPr>
      </w:pPr>
      <w:r>
        <w:rPr>
          <w:rFonts w:hint="eastAsia" w:ascii="宋体" w:hAnsi="宋体"/>
          <w:b/>
          <w:color w:val="000000"/>
        </w:rPr>
        <w:t>附表1：</w:t>
      </w:r>
      <w:r>
        <w:rPr>
          <w:rFonts w:hint="eastAsia" w:ascii="宋体" w:hAnsi="宋体" w:cs="宋体"/>
          <w:sz w:val="28"/>
          <w:szCs w:val="28"/>
        </w:rPr>
        <w:t>投标单位资格审查表</w:t>
      </w:r>
    </w:p>
    <w:tbl>
      <w:tblPr>
        <w:tblStyle w:val="11"/>
        <w:tblW w:w="14190" w:type="dxa"/>
        <w:tblInd w:w="93" w:type="dxa"/>
        <w:tblLayout w:type="fixed"/>
        <w:tblCellMar>
          <w:top w:w="0" w:type="dxa"/>
          <w:left w:w="108" w:type="dxa"/>
          <w:bottom w:w="0" w:type="dxa"/>
          <w:right w:w="108" w:type="dxa"/>
        </w:tblCellMar>
      </w:tblPr>
      <w:tblGrid>
        <w:gridCol w:w="531"/>
        <w:gridCol w:w="4704"/>
        <w:gridCol w:w="2718"/>
        <w:gridCol w:w="3119"/>
        <w:gridCol w:w="3118"/>
      </w:tblGrid>
      <w:tr>
        <w:tblPrEx>
          <w:tblCellMar>
            <w:top w:w="0" w:type="dxa"/>
            <w:left w:w="108" w:type="dxa"/>
            <w:bottom w:w="0" w:type="dxa"/>
            <w:right w:w="108" w:type="dxa"/>
          </w:tblCellMar>
        </w:tblPrEx>
        <w:trPr>
          <w:trHeight w:val="66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黑体" w:hAnsi="宋体" w:eastAsia="黑体" w:cs="宋体"/>
                <w:sz w:val="32"/>
                <w:szCs w:val="32"/>
              </w:rPr>
            </w:pPr>
            <w:r>
              <w:rPr>
                <w:rFonts w:hint="eastAsia" w:ascii="黑体" w:hAnsi="宋体" w:eastAsia="黑体" w:cs="宋体"/>
                <w:sz w:val="32"/>
                <w:szCs w:val="32"/>
              </w:rPr>
              <w:t>投 标 单 位 资 格 审 查 表</w:t>
            </w:r>
          </w:p>
        </w:tc>
      </w:tr>
      <w:tr>
        <w:tblPrEx>
          <w:tblCellMar>
            <w:top w:w="0" w:type="dxa"/>
            <w:left w:w="108" w:type="dxa"/>
            <w:bottom w:w="0" w:type="dxa"/>
            <w:right w:w="108" w:type="dxa"/>
          </w:tblCellMar>
        </w:tblPrEx>
        <w:trPr>
          <w:trHeight w:val="360" w:hRule="atLeast"/>
        </w:trPr>
        <w:tc>
          <w:tcPr>
            <w:tcW w:w="53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4704" w:type="dxa"/>
            <w:vMerge w:val="restart"/>
            <w:tcBorders>
              <w:top w:val="nil"/>
              <w:left w:val="single" w:color="auto" w:sz="4" w:space="0"/>
              <w:bottom w:val="single" w:color="000000" w:sz="4" w:space="0"/>
              <w:right w:val="single" w:color="auto"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要      求</w:t>
            </w:r>
          </w:p>
        </w:tc>
        <w:tc>
          <w:tcPr>
            <w:tcW w:w="8955" w:type="dxa"/>
            <w:gridSpan w:val="3"/>
            <w:tcBorders>
              <w:top w:val="single" w:color="auto" w:sz="4" w:space="0"/>
              <w:left w:val="nil"/>
              <w:bottom w:val="single" w:color="auto" w:sz="4" w:space="0"/>
              <w:right w:val="single" w:color="000000"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投  标  单  位</w:t>
            </w:r>
          </w:p>
        </w:tc>
      </w:tr>
      <w:tr>
        <w:tblPrEx>
          <w:tblCellMar>
            <w:top w:w="0" w:type="dxa"/>
            <w:left w:w="108" w:type="dxa"/>
            <w:bottom w:w="0" w:type="dxa"/>
            <w:right w:w="108" w:type="dxa"/>
          </w:tblCellMar>
        </w:tblPrEx>
        <w:trPr>
          <w:trHeight w:val="585" w:hRule="atLeast"/>
        </w:trPr>
        <w:tc>
          <w:tcPr>
            <w:tcW w:w="53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4704" w:type="dxa"/>
            <w:vMerge w:val="continue"/>
            <w:tcBorders>
              <w:top w:val="nil"/>
              <w:left w:val="single" w:color="auto" w:sz="4" w:space="0"/>
              <w:bottom w:val="single" w:color="000000" w:sz="4" w:space="0"/>
              <w:right w:val="single" w:color="auto" w:sz="4" w:space="0"/>
            </w:tcBorders>
            <w:vAlign w:val="center"/>
          </w:tcPr>
          <w:p>
            <w:pPr>
              <w:rPr>
                <w:rFonts w:ascii="黑体" w:hAnsi="宋体" w:eastAsia="黑体" w:cs="宋体"/>
                <w:sz w:val="24"/>
                <w:szCs w:val="24"/>
              </w:rPr>
            </w:pPr>
          </w:p>
        </w:tc>
        <w:tc>
          <w:tcPr>
            <w:tcW w:w="2718" w:type="dxa"/>
            <w:tcBorders>
              <w:top w:val="nil"/>
              <w:left w:val="nil"/>
              <w:bottom w:val="single" w:color="auto" w:sz="4" w:space="0"/>
              <w:right w:val="single" w:color="auto" w:sz="4" w:space="0"/>
            </w:tcBorders>
            <w:vAlign w:val="center"/>
          </w:tcPr>
          <w:p>
            <w:pPr>
              <w:jc w:val="cente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jc w:val="center"/>
              <w:rPr>
                <w:rFonts w:ascii="宋体" w:hAnsi="宋体" w:cs="宋体"/>
                <w:sz w:val="20"/>
              </w:rPr>
            </w:pPr>
          </w:p>
        </w:tc>
      </w:tr>
      <w:tr>
        <w:tblPrEx>
          <w:tblCellMar>
            <w:top w:w="0" w:type="dxa"/>
            <w:left w:w="108" w:type="dxa"/>
            <w:bottom w:w="0" w:type="dxa"/>
            <w:right w:w="108" w:type="dxa"/>
          </w:tblCellMar>
        </w:tblPrEx>
        <w:trPr>
          <w:trHeight w:val="78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4704" w:type="dxa"/>
            <w:tcBorders>
              <w:top w:val="nil"/>
              <w:left w:val="nil"/>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投标文件密封良好，并在密封处加盖公章，否则审核结果不合格</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55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营业执照复印件、税务登记证复印件齐全</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投标文件正、副本各一份</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0"/>
              </w:rPr>
            </w:pPr>
          </w:p>
        </w:tc>
      </w:tr>
      <w:tr>
        <w:tblPrEx>
          <w:tblCellMar>
            <w:top w:w="0" w:type="dxa"/>
            <w:left w:w="108" w:type="dxa"/>
            <w:bottom w:w="0" w:type="dxa"/>
            <w:right w:w="108" w:type="dxa"/>
          </w:tblCellMar>
        </w:tblPrEx>
        <w:trPr>
          <w:trHeight w:val="60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投标价不得超过拦标价</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9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4704" w:type="dxa"/>
            <w:tcBorders>
              <w:top w:val="nil"/>
              <w:left w:val="nil"/>
              <w:bottom w:val="single" w:color="auto" w:sz="4" w:space="0"/>
              <w:right w:val="single" w:color="auto" w:sz="4" w:space="0"/>
            </w:tcBorders>
            <w:vAlign w:val="center"/>
          </w:tcPr>
          <w:p>
            <w:pPr>
              <w:rPr>
                <w:rFonts w:ascii="宋体" w:hAnsi="宋体" w:cs="宋体"/>
                <w:b/>
                <w:bCs/>
                <w:sz w:val="24"/>
                <w:szCs w:val="24"/>
              </w:rPr>
            </w:pPr>
            <w:r>
              <w:rPr>
                <w:rFonts w:hint="eastAsia" w:ascii="宋体" w:hAnsi="宋体" w:cs="宋体"/>
                <w:b/>
                <w:bCs/>
                <w:sz w:val="24"/>
                <w:szCs w:val="24"/>
              </w:rPr>
              <w:t>审查结果（合格/不合格）</w:t>
            </w:r>
          </w:p>
        </w:tc>
        <w:tc>
          <w:tcPr>
            <w:tcW w:w="27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9"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p>
        </w:tc>
      </w:tr>
      <w:tr>
        <w:tblPrEx>
          <w:tblCellMar>
            <w:top w:w="0" w:type="dxa"/>
            <w:left w:w="108" w:type="dxa"/>
            <w:bottom w:w="0" w:type="dxa"/>
            <w:right w:w="108" w:type="dxa"/>
          </w:tblCellMar>
        </w:tblPrEx>
        <w:trPr>
          <w:trHeight w:val="1900" w:hRule="atLeast"/>
        </w:trPr>
        <w:tc>
          <w:tcPr>
            <w:tcW w:w="14190" w:type="dxa"/>
            <w:gridSpan w:val="5"/>
            <w:tcBorders>
              <w:top w:val="single" w:color="auto" w:sz="4" w:space="0"/>
              <w:left w:val="single" w:color="auto" w:sz="4" w:space="0"/>
              <w:bottom w:val="single" w:color="auto" w:sz="4" w:space="0"/>
              <w:right w:val="single" w:color="000000" w:sz="4" w:space="0"/>
            </w:tcBorders>
          </w:tcPr>
          <w:p>
            <w:pPr>
              <w:rPr>
                <w:rFonts w:ascii="宋体" w:hAnsi="宋体" w:cs="宋体"/>
                <w:sz w:val="32"/>
                <w:szCs w:val="32"/>
              </w:rPr>
            </w:pPr>
            <w:r>
              <w:rPr>
                <w:rFonts w:hint="eastAsia" w:ascii="宋体" w:hAnsi="宋体" w:cs="宋体"/>
                <w:sz w:val="32"/>
                <w:szCs w:val="32"/>
              </w:rPr>
              <w:t>评委签名：</w:t>
            </w:r>
          </w:p>
        </w:tc>
      </w:tr>
      <w:tr>
        <w:tblPrEx>
          <w:tblCellMar>
            <w:top w:w="0" w:type="dxa"/>
            <w:left w:w="108" w:type="dxa"/>
            <w:bottom w:w="0" w:type="dxa"/>
            <w:right w:w="108" w:type="dxa"/>
          </w:tblCellMar>
        </w:tblPrEx>
        <w:trPr>
          <w:trHeight w:val="48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rPr>
                <w:rFonts w:ascii="宋体" w:hAnsi="宋体" w:cs="宋体"/>
                <w:sz w:val="24"/>
                <w:szCs w:val="24"/>
              </w:rPr>
            </w:pPr>
            <w:r>
              <w:rPr>
                <w:rFonts w:hint="eastAsia" w:ascii="宋体" w:hAnsi="宋体" w:cs="宋体"/>
                <w:sz w:val="24"/>
                <w:szCs w:val="24"/>
              </w:rPr>
              <w:t xml:space="preserve">                                                                          时间：    　　年    月    日</w:t>
            </w:r>
          </w:p>
        </w:tc>
      </w:tr>
    </w:tbl>
    <w:p>
      <w:pPr>
        <w:spacing w:afterLines="100"/>
        <w:rPr>
          <w:rFonts w:ascii="宋体" w:hAnsi="宋体"/>
          <w:b/>
          <w:color w:val="000000"/>
        </w:rPr>
      </w:pPr>
    </w:p>
    <w:p>
      <w:pPr>
        <w:sectPr>
          <w:footerReference r:id="rId6" w:type="default"/>
          <w:pgSz w:w="16840" w:h="11907" w:orient="landscape"/>
          <w:pgMar w:top="1361" w:right="1418" w:bottom="1191" w:left="1418" w:header="737" w:footer="737" w:gutter="0"/>
          <w:cols w:space="720" w:num="1"/>
          <w:docGrid w:type="lines" w:linePitch="285" w:charSpace="0"/>
        </w:sectPr>
      </w:pPr>
    </w:p>
    <w:p>
      <w:pPr>
        <w:spacing w:afterLines="100"/>
        <w:rPr>
          <w:rFonts w:ascii="宋体" w:hAnsi="宋体"/>
          <w:b/>
          <w:color w:val="000000"/>
        </w:rPr>
      </w:pPr>
      <w:r>
        <w:rPr>
          <w:rFonts w:hint="eastAsia" w:ascii="宋体" w:hAnsi="宋体"/>
          <w:b/>
          <w:color w:val="000000"/>
        </w:rPr>
        <w:t xml:space="preserve">附表2：技术商务评审表 </w:t>
      </w:r>
    </w:p>
    <w:p>
      <w:pPr>
        <w:spacing w:line="360" w:lineRule="auto"/>
        <w:jc w:val="center"/>
        <w:rPr>
          <w:rFonts w:ascii="宋体" w:hAnsi="宋体"/>
          <w:b/>
          <w:color w:val="000000"/>
          <w:sz w:val="24"/>
          <w:szCs w:val="24"/>
        </w:rPr>
      </w:pPr>
      <w:r>
        <w:rPr>
          <w:rFonts w:ascii="宋体" w:hAnsi="宋体"/>
          <w:b/>
          <w:color w:val="000000"/>
          <w:sz w:val="24"/>
          <w:szCs w:val="24"/>
        </w:rPr>
        <w:t>技术</w:t>
      </w:r>
      <w:r>
        <w:rPr>
          <w:rFonts w:hint="eastAsia" w:ascii="宋体" w:hAnsi="宋体"/>
          <w:b/>
          <w:color w:val="000000"/>
          <w:sz w:val="24"/>
          <w:szCs w:val="24"/>
        </w:rPr>
        <w:t>、</w:t>
      </w:r>
      <w:r>
        <w:rPr>
          <w:rFonts w:ascii="宋体" w:hAnsi="宋体"/>
          <w:b/>
          <w:color w:val="000000"/>
          <w:sz w:val="24"/>
          <w:szCs w:val="24"/>
        </w:rPr>
        <w:t>商务打分表</w:t>
      </w:r>
    </w:p>
    <w:p>
      <w:pPr>
        <w:spacing w:line="360" w:lineRule="auto"/>
        <w:rPr>
          <w:rFonts w:ascii="宋体" w:hAnsi="宋体"/>
        </w:rPr>
      </w:pPr>
    </w:p>
    <w:tbl>
      <w:tblPr>
        <w:tblStyle w:val="11"/>
        <w:tblW w:w="0" w:type="auto"/>
        <w:tblInd w:w="93" w:type="dxa"/>
        <w:tblLayout w:type="fixed"/>
        <w:tblCellMar>
          <w:top w:w="0" w:type="dxa"/>
          <w:left w:w="108" w:type="dxa"/>
          <w:bottom w:w="0" w:type="dxa"/>
          <w:right w:w="108" w:type="dxa"/>
        </w:tblCellMar>
      </w:tblPr>
      <w:tblGrid>
        <w:gridCol w:w="820"/>
        <w:gridCol w:w="1600"/>
        <w:gridCol w:w="700"/>
        <w:gridCol w:w="5660"/>
      </w:tblGrid>
      <w:tr>
        <w:tblPrEx>
          <w:tblCellMar>
            <w:top w:w="0" w:type="dxa"/>
            <w:left w:w="108" w:type="dxa"/>
            <w:bottom w:w="0" w:type="dxa"/>
            <w:right w:w="108" w:type="dxa"/>
          </w:tblCellMar>
        </w:tblPrEx>
        <w:trPr>
          <w:trHeight w:val="730" w:hRule="atLeast"/>
        </w:trPr>
        <w:tc>
          <w:tcPr>
            <w:tcW w:w="820" w:type="dxa"/>
            <w:tcBorders>
              <w:top w:val="single" w:color="auto" w:sz="8" w:space="0"/>
              <w:left w:val="single" w:color="auto" w:sz="8"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项目</w:t>
            </w:r>
          </w:p>
        </w:tc>
        <w:tc>
          <w:tcPr>
            <w:tcW w:w="16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分项内容</w:t>
            </w:r>
          </w:p>
        </w:tc>
        <w:tc>
          <w:tcPr>
            <w:tcW w:w="7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满分</w:t>
            </w:r>
          </w:p>
        </w:tc>
        <w:tc>
          <w:tcPr>
            <w:tcW w:w="566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评分说明</w:t>
            </w:r>
          </w:p>
        </w:tc>
      </w:tr>
      <w:tr>
        <w:tblPrEx>
          <w:tblCellMar>
            <w:top w:w="0" w:type="dxa"/>
            <w:left w:w="108" w:type="dxa"/>
            <w:bottom w:w="0" w:type="dxa"/>
            <w:right w:w="108" w:type="dxa"/>
          </w:tblCellMar>
        </w:tblPrEx>
        <w:trPr>
          <w:trHeight w:val="700" w:hRule="atLeast"/>
        </w:trPr>
        <w:tc>
          <w:tcPr>
            <w:tcW w:w="820" w:type="dxa"/>
            <w:vMerge w:val="restart"/>
            <w:tcBorders>
              <w:top w:val="nil"/>
              <w:left w:val="single" w:color="auto" w:sz="8" w:space="0"/>
              <w:right w:val="single" w:color="auto" w:sz="4" w:space="0"/>
            </w:tcBorders>
            <w:vAlign w:val="center"/>
          </w:tcPr>
          <w:p>
            <w:pPr>
              <w:ind w:firstLine="265"/>
              <w:rPr>
                <w:rFonts w:ascii="宋体" w:hAnsi="宋体" w:cs="宋体"/>
                <w:sz w:val="24"/>
                <w:szCs w:val="24"/>
              </w:rPr>
            </w:pPr>
            <w:r>
              <w:rPr>
                <w:rFonts w:hint="eastAsia" w:ascii="宋体" w:hAnsi="宋体" w:cs="宋体"/>
                <w:sz w:val="24"/>
                <w:szCs w:val="24"/>
              </w:rPr>
              <w:t>技</w:t>
            </w:r>
          </w:p>
          <w:p>
            <w:pPr>
              <w:ind w:firstLine="265"/>
              <w:rPr>
                <w:rFonts w:ascii="宋体" w:hAnsi="宋体" w:cs="宋体"/>
                <w:sz w:val="24"/>
                <w:szCs w:val="24"/>
              </w:rPr>
            </w:pPr>
            <w:r>
              <w:rPr>
                <w:rFonts w:hint="eastAsia" w:ascii="宋体" w:hAnsi="宋体" w:cs="宋体"/>
                <w:sz w:val="24"/>
                <w:szCs w:val="24"/>
              </w:rPr>
              <w:t>术</w:t>
            </w:r>
          </w:p>
          <w:p>
            <w:pPr>
              <w:ind w:firstLine="265"/>
              <w:rPr>
                <w:rFonts w:ascii="宋体" w:hAnsi="宋体" w:cs="宋体"/>
                <w:szCs w:val="21"/>
              </w:rPr>
            </w:pPr>
            <w:r>
              <w:rPr>
                <w:rFonts w:hint="eastAsia" w:ascii="宋体" w:hAnsi="宋体" w:cs="宋体"/>
                <w:sz w:val="24"/>
                <w:szCs w:val="24"/>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设备产能要求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numPr>
                <w:ilvl w:val="0"/>
                <w:numId w:val="3"/>
              </w:numPr>
              <w:rPr>
                <w:rFonts w:hint="eastAsia" w:ascii="宋体" w:hAnsi="宋体" w:eastAsia="宋体" w:cs="宋体"/>
                <w:color w:val="000000"/>
                <w:kern w:val="0"/>
                <w:sz w:val="21"/>
                <w:szCs w:val="21"/>
                <w:lang w:val="en-US" w:eastAsia="zh-CN" w:bidi="ar"/>
              </w:rPr>
            </w:pPr>
            <w:r>
              <w:rPr>
                <w:rFonts w:hint="eastAsia" w:ascii="宋体" w:hAnsi="宋体" w:eastAsia="宋体" w:cs="宋体"/>
                <w:b w:val="0"/>
                <w:bCs/>
                <w:sz w:val="21"/>
                <w:szCs w:val="21"/>
              </w:rPr>
              <w:t>蒸发清水量≥2000kg/h</w:t>
            </w:r>
            <w:r>
              <w:rPr>
                <w:rFonts w:hint="eastAsia" w:ascii="宋体" w:hAnsi="宋体" w:eastAsia="宋体" w:cs="宋体"/>
                <w:color w:val="000000"/>
                <w:kern w:val="0"/>
                <w:sz w:val="21"/>
                <w:szCs w:val="21"/>
                <w:lang w:val="en-US" w:eastAsia="zh-CN" w:bidi="ar"/>
              </w:rPr>
              <w:t>以上</w:t>
            </w:r>
          </w:p>
          <w:p>
            <w:pPr>
              <w:numPr>
                <w:ilvl w:val="0"/>
                <w:numId w:val="3"/>
              </w:numPr>
              <w:rPr>
                <w:rFonts w:hint="eastAsia" w:ascii="宋体" w:hAnsi="宋体" w:eastAsia="宋体" w:cs="宋体"/>
                <w:color w:val="000000"/>
                <w:kern w:val="0"/>
                <w:sz w:val="21"/>
                <w:szCs w:val="21"/>
                <w:lang w:val="en-US" w:eastAsia="zh-CN" w:bidi="ar"/>
              </w:rPr>
            </w:pPr>
            <w:r>
              <w:rPr>
                <w:rFonts w:hint="eastAsia" w:ascii="宋体" w:hAnsi="宋体" w:eastAsia="宋体" w:cs="宋体"/>
                <w:b w:val="0"/>
                <w:bCs/>
                <w:sz w:val="21"/>
                <w:szCs w:val="21"/>
              </w:rPr>
              <w:t>蒸发器内胆承受温度＞110℃</w:t>
            </w:r>
          </w:p>
          <w:p>
            <w:pPr>
              <w:numPr>
                <w:ilvl w:val="0"/>
                <w:numId w:val="3"/>
              </w:num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rPr>
              <w:t>工作温度：加热器工作温度：壳程138℃，管程60-80℃</w:t>
            </w:r>
            <w:r>
              <w:rPr>
                <w:rFonts w:hint="eastAsia" w:ascii="宋体" w:hAnsi="宋体" w:cs="宋体"/>
                <w:color w:val="000000"/>
                <w:kern w:val="0"/>
                <w:sz w:val="21"/>
                <w:szCs w:val="21"/>
                <w:lang w:eastAsia="zh-CN"/>
              </w:rPr>
              <w:t>。</w:t>
            </w:r>
          </w:p>
          <w:p>
            <w:pPr>
              <w:numPr>
                <w:ilvl w:val="0"/>
                <w:numId w:val="3"/>
              </w:num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rPr>
              <w:t>设备的结构、刚度及密封设计可确保设备在正常寿命期内使用不泄漏、不变形；设备正常使用条件下使用寿命：10年</w:t>
            </w:r>
          </w:p>
          <w:p>
            <w:pPr>
              <w:rPr>
                <w:rFonts w:ascii="宋体" w:hAnsi="宋体" w:cs="宋体"/>
                <w:szCs w:val="21"/>
              </w:rPr>
            </w:pPr>
            <w:r>
              <w:rPr>
                <w:rFonts w:hint="eastAsia" w:ascii="宋体" w:hAnsi="宋体" w:cs="宋体"/>
                <w:szCs w:val="21"/>
              </w:rPr>
              <w:t>综合对比评价优为 ：8-10分，良为：4-7分，一般为1-3分。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设备技术要求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c>
          <w:tcPr>
            <w:tcW w:w="5660" w:type="dxa"/>
            <w:tcBorders>
              <w:top w:val="nil"/>
              <w:left w:val="nil"/>
              <w:bottom w:val="single" w:color="auto" w:sz="4" w:space="0"/>
              <w:right w:val="single" w:color="auto" w:sz="4" w:space="0"/>
            </w:tcBorders>
            <w:vAlign w:val="center"/>
          </w:tcPr>
          <w:p>
            <w:pPr>
              <w:numPr>
                <w:ilvl w:val="0"/>
                <w:numId w:val="4"/>
              </w:numPr>
              <w:rPr>
                <w:rFonts w:hint="eastAsia" w:ascii="宋体" w:hAnsi="宋体" w:cs="宋体"/>
                <w:sz w:val="21"/>
                <w:szCs w:val="21"/>
              </w:rPr>
            </w:pPr>
            <w:r>
              <w:rPr>
                <w:rFonts w:hint="eastAsia" w:ascii="宋体" w:hAnsi="宋体" w:eastAsia="宋体" w:cs="宋体"/>
                <w:color w:val="000000"/>
                <w:kern w:val="0"/>
                <w:sz w:val="21"/>
                <w:szCs w:val="21"/>
              </w:rPr>
              <w:t>设备的主要部件设置要求：一效加热室，一效蒸发室，二效加热室，二效蒸发室，冷凝器，平衡罐，受液罐，系统管阀，压力温度仪表等部分组成；</w:t>
            </w:r>
          </w:p>
          <w:p>
            <w:pPr>
              <w:numPr>
                <w:ilvl w:val="0"/>
                <w:numId w:val="4"/>
              </w:numPr>
              <w:rPr>
                <w:rFonts w:hint="eastAsia" w:ascii="宋体" w:hAnsi="宋体" w:cs="宋体"/>
                <w:sz w:val="21"/>
                <w:szCs w:val="21"/>
              </w:rPr>
            </w:pPr>
            <w:r>
              <w:rPr>
                <w:rFonts w:hint="eastAsia" w:ascii="宋体" w:hAnsi="宋体" w:eastAsia="宋体" w:cs="宋体"/>
                <w:color w:val="000000"/>
                <w:kern w:val="0"/>
                <w:sz w:val="21"/>
                <w:szCs w:val="21"/>
              </w:rPr>
              <w:t>设计和制造必须符合压力容器规范和标准</w:t>
            </w:r>
          </w:p>
          <w:p>
            <w:pPr>
              <w:numPr>
                <w:ilvl w:val="0"/>
                <w:numId w:val="4"/>
              </w:numPr>
              <w:rPr>
                <w:rFonts w:hint="eastAsia" w:ascii="宋体" w:hAnsi="宋体" w:cs="宋体"/>
                <w:sz w:val="21"/>
                <w:szCs w:val="21"/>
              </w:rPr>
            </w:pPr>
            <w:r>
              <w:rPr>
                <w:rFonts w:hint="eastAsia" w:ascii="宋体" w:hAnsi="宋体" w:eastAsia="宋体" w:cs="宋体"/>
                <w:color w:val="000000"/>
                <w:kern w:val="0"/>
                <w:sz w:val="21"/>
                <w:szCs w:val="21"/>
              </w:rPr>
              <w:t>一、二效蒸发器304不锈钢制做，设计压力为-0.1MPa，工作压力为-0.08MPa</w:t>
            </w:r>
            <w:r>
              <w:rPr>
                <w:rFonts w:hint="eastAsia" w:ascii="宋体" w:hAnsi="宋体" w:eastAsia="宋体" w:cs="宋体"/>
                <w:color w:val="000000"/>
                <w:kern w:val="0"/>
                <w:sz w:val="21"/>
                <w:szCs w:val="21"/>
                <w:lang w:eastAsia="zh-CN"/>
              </w:rPr>
              <w:t>。</w:t>
            </w:r>
          </w:p>
          <w:p>
            <w:pPr>
              <w:numPr>
                <w:ilvl w:val="0"/>
                <w:numId w:val="4"/>
              </w:num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浓缩蒸发器设备应配置防止起泡和跑料的装置和措施，在浓缩工作过程中能有效消泡、不跑料。内具备有效的物理消泡装置，且有效的防止挂壁；</w:t>
            </w:r>
          </w:p>
          <w:p>
            <w:pPr>
              <w:numPr>
                <w:ilvl w:val="0"/>
                <w:numId w:val="4"/>
              </w:num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蒸发器配以必要的CIP 清洗接口，保证清洗效果，必须做到长期使用，蒸发量不衰减；</w:t>
            </w:r>
          </w:p>
          <w:p>
            <w:pPr>
              <w:rPr>
                <w:rFonts w:ascii="宋体" w:hAnsi="宋体" w:cs="宋体"/>
                <w:szCs w:val="21"/>
              </w:rPr>
            </w:pPr>
            <w:r>
              <w:rPr>
                <w:rFonts w:hint="eastAsia" w:ascii="宋体" w:hAnsi="宋体" w:cs="宋体"/>
                <w:szCs w:val="21"/>
              </w:rPr>
              <w:t>综合对比评价优为 16-20：分，良为：11-15分，一般为1-10分。</w:t>
            </w:r>
          </w:p>
        </w:tc>
      </w:tr>
      <w:tr>
        <w:tblPrEx>
          <w:tblCellMar>
            <w:top w:w="0" w:type="dxa"/>
            <w:left w:w="108" w:type="dxa"/>
            <w:bottom w:w="0" w:type="dxa"/>
            <w:right w:w="108" w:type="dxa"/>
          </w:tblCellMar>
        </w:tblPrEx>
        <w:trPr>
          <w:trHeight w:val="1378"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其他用户需求响应情况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其他用户需求响应内容全面，具体，准确，综合对比评价优为 ：6-10分。文件基本完整，用户需求响应内容基本齐全，综合对比评价良为：4-6分。文件有缺陷，用户需求响应内容不具体，综合对比评价一般为：1-3分。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设备和辅机</w:t>
            </w:r>
          </w:p>
          <w:p>
            <w:pPr>
              <w:jc w:val="center"/>
              <w:rPr>
                <w:rFonts w:ascii="宋体" w:hAnsi="宋体" w:cs="宋体"/>
                <w:szCs w:val="21"/>
              </w:rPr>
            </w:pPr>
            <w:r>
              <w:rPr>
                <w:rFonts w:hint="eastAsia" w:ascii="宋体" w:hAnsi="宋体" w:cs="宋体"/>
                <w:szCs w:val="21"/>
              </w:rPr>
              <w:t>合理布置情况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供方需</w:t>
            </w:r>
            <w:r>
              <w:rPr>
                <w:rFonts w:hint="eastAsia" w:ascii="宋体" w:hAnsi="宋体" w:cs="宋体"/>
                <w:szCs w:val="21"/>
              </w:rPr>
              <w:t>要根据房间平面图设计详细的空间布局方案，详细的叙述方案的可行性、合理性、实用性等。方案至少包括：</w:t>
            </w:r>
            <w:r>
              <w:rPr>
                <w:rFonts w:hint="eastAsia" w:ascii="宋体" w:hAnsi="宋体" w:cs="宋体"/>
                <w:szCs w:val="21"/>
                <w:lang w:val="en-US" w:eastAsia="zh-CN"/>
              </w:rPr>
              <w:t>设备设计图纸、设备配置</w:t>
            </w:r>
            <w:r>
              <w:rPr>
                <w:rFonts w:hint="eastAsia" w:ascii="宋体" w:hAnsi="宋体" w:cs="宋体"/>
                <w:szCs w:val="21"/>
              </w:rPr>
              <w:t>，满足我司场地安装要求，利于人员操作和使用。布局合理优得6分，其他依次递减。</w:t>
            </w:r>
          </w:p>
        </w:tc>
      </w:tr>
      <w:tr>
        <w:tblPrEx>
          <w:tblCellMar>
            <w:top w:w="0" w:type="dxa"/>
            <w:left w:w="108" w:type="dxa"/>
            <w:bottom w:w="0" w:type="dxa"/>
            <w:right w:w="108" w:type="dxa"/>
          </w:tblCellMar>
        </w:tblPrEx>
        <w:trPr>
          <w:trHeight w:val="88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业绩和经验</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提供类似项目合作单位清单及项目概况，提供数量最多的投标单位得4分，其他依次递减。</w:t>
            </w:r>
          </w:p>
        </w:tc>
      </w:tr>
      <w:tr>
        <w:tblPrEx>
          <w:tblCellMar>
            <w:top w:w="0" w:type="dxa"/>
            <w:left w:w="108" w:type="dxa"/>
            <w:bottom w:w="0" w:type="dxa"/>
            <w:right w:w="108" w:type="dxa"/>
          </w:tblCellMar>
        </w:tblPrEx>
        <w:trPr>
          <w:trHeight w:val="61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交货期</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交货期最短的投标单位得4分，其他依次递减。</w:t>
            </w:r>
          </w:p>
        </w:tc>
      </w:tr>
      <w:tr>
        <w:tblPrEx>
          <w:tblCellMar>
            <w:top w:w="0" w:type="dxa"/>
            <w:left w:w="108" w:type="dxa"/>
            <w:bottom w:w="0" w:type="dxa"/>
            <w:right w:w="108" w:type="dxa"/>
          </w:tblCellMar>
        </w:tblPrEx>
        <w:trPr>
          <w:trHeight w:val="945" w:hRule="atLeast"/>
        </w:trPr>
        <w:tc>
          <w:tcPr>
            <w:tcW w:w="820" w:type="dxa"/>
            <w:vMerge w:val="continue"/>
            <w:tcBorders>
              <w:left w:val="single" w:color="auto" w:sz="8" w:space="0"/>
              <w:bottom w:val="single" w:color="auto" w:sz="4"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对比投标单位提供的售后服务承诺，包括零配件供应速度，维修反馈时间，人员培训内容，服务费用等指标，服务指标优得6分，其他依次递减。</w:t>
            </w:r>
          </w:p>
        </w:tc>
      </w:tr>
      <w:tr>
        <w:tblPrEx>
          <w:tblCellMar>
            <w:top w:w="0" w:type="dxa"/>
            <w:left w:w="108" w:type="dxa"/>
            <w:bottom w:w="0" w:type="dxa"/>
            <w:right w:w="108" w:type="dxa"/>
          </w:tblCellMar>
        </w:tblPrEx>
        <w:trPr>
          <w:trHeight w:val="480" w:hRule="atLeast"/>
        </w:trPr>
        <w:tc>
          <w:tcPr>
            <w:tcW w:w="2420"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技术分合计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1005" w:hRule="atLeast"/>
        </w:trPr>
        <w:tc>
          <w:tcPr>
            <w:tcW w:w="820" w:type="dxa"/>
            <w:tcBorders>
              <w:top w:val="nil"/>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经</w:t>
            </w:r>
          </w:p>
          <w:p>
            <w:pPr>
              <w:jc w:val="center"/>
              <w:rPr>
                <w:rFonts w:ascii="宋体" w:hAnsi="宋体" w:cs="宋体"/>
                <w:szCs w:val="21"/>
              </w:rPr>
            </w:pPr>
            <w:r>
              <w:rPr>
                <w:rFonts w:hint="eastAsia" w:ascii="宋体" w:hAnsi="宋体" w:cs="宋体"/>
                <w:szCs w:val="21"/>
              </w:rPr>
              <w:t>济</w:t>
            </w:r>
          </w:p>
          <w:p>
            <w:pPr>
              <w:jc w:val="center"/>
              <w:rPr>
                <w:rFonts w:ascii="宋体" w:hAnsi="宋体" w:cs="宋体"/>
                <w:szCs w:val="21"/>
              </w:rPr>
            </w:pPr>
            <w:r>
              <w:rPr>
                <w:rFonts w:hint="eastAsia" w:ascii="宋体" w:hAnsi="宋体" w:cs="宋体"/>
                <w:szCs w:val="21"/>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投标报价</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按照本招标文件中</w:t>
            </w:r>
            <w:r>
              <w:rPr>
                <w:rStyle w:val="13"/>
                <w:rFonts w:hint="eastAsia" w:ascii="宋体" w:hAnsi="宋体" w:eastAsia="宋体" w:cs="宋体"/>
                <w:b/>
                <w:bCs/>
                <w:i w:val="0"/>
                <w:iCs w:val="0"/>
                <w:caps w:val="0"/>
                <w:color w:val="333333"/>
                <w:spacing w:val="0"/>
                <w:sz w:val="21"/>
                <w:szCs w:val="21"/>
                <w:shd w:val="clear" w:fill="FFFFFF"/>
              </w:rPr>
              <w:t>三、3</w:t>
            </w:r>
            <w:r>
              <w:rPr>
                <w:rFonts w:hint="eastAsia" w:ascii="宋体" w:hAnsi="宋体" w:eastAsia="宋体" w:cs="宋体"/>
                <w:i w:val="0"/>
                <w:iCs w:val="0"/>
                <w:caps w:val="0"/>
                <w:color w:val="333333"/>
                <w:spacing w:val="0"/>
                <w:sz w:val="21"/>
                <w:szCs w:val="21"/>
                <w:shd w:val="clear" w:fill="FFFFFF"/>
              </w:rPr>
              <w:t>投标报价评审里的规定计算经济分。定为废标的投标书，不参与计算。</w:t>
            </w:r>
          </w:p>
        </w:tc>
      </w:tr>
      <w:tr>
        <w:tblPrEx>
          <w:tblCellMar>
            <w:top w:w="0" w:type="dxa"/>
            <w:left w:w="108" w:type="dxa"/>
            <w:bottom w:w="0" w:type="dxa"/>
            <w:right w:w="108" w:type="dxa"/>
          </w:tblCellMar>
        </w:tblPrEx>
        <w:trPr>
          <w:trHeight w:val="420" w:hRule="atLeast"/>
        </w:trPr>
        <w:tc>
          <w:tcPr>
            <w:tcW w:w="2420" w:type="dxa"/>
            <w:gridSpan w:val="2"/>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共计</w:t>
            </w:r>
          </w:p>
        </w:tc>
        <w:tc>
          <w:tcPr>
            <w:tcW w:w="700" w:type="dxa"/>
            <w:tcBorders>
              <w:top w:val="nil"/>
              <w:left w:val="nil"/>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c>
          <w:tcPr>
            <w:tcW w:w="5660" w:type="dxa"/>
            <w:tcBorders>
              <w:top w:val="nil"/>
              <w:left w:val="nil"/>
              <w:bottom w:val="single" w:color="auto" w:sz="8" w:space="0"/>
              <w:right w:val="single" w:color="auto" w:sz="4" w:space="0"/>
            </w:tcBorders>
            <w:vAlign w:val="center"/>
          </w:tcPr>
          <w:p>
            <w:pPr>
              <w:rPr>
                <w:rFonts w:ascii="宋体" w:hAnsi="宋体" w:cs="宋体"/>
                <w:szCs w:val="21"/>
              </w:rPr>
            </w:pPr>
            <w:r>
              <w:rPr>
                <w:rFonts w:hint="eastAsia" w:ascii="宋体" w:hAnsi="宋体" w:cs="宋体"/>
                <w:szCs w:val="21"/>
              </w:rPr>
              <w:t>　</w:t>
            </w:r>
          </w:p>
        </w:tc>
      </w:tr>
    </w:tbl>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0"/>
        <w:tab w:val="left" w:pos="8100"/>
        <w:tab w:val="clear" w:pos="4153"/>
      </w:tabs>
      <w:rPr>
        <w:rFonts w:ascii="宋体" w:hAnsi="宋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pPr>
    <w:r>
      <w:pict>
        <v:line id="Line 8" o:spid="_x0000_s1025" o:spt="20" style="position:absolute;left:0pt;margin-left:0pt;margin-top:-7.95pt;height:0pt;width:460.6pt;z-index:251660288;mso-width-relative:page;mso-height-relative:page;" coordsize="21600,21600" o:allowincell="f">
          <v:path arrowok="t"/>
          <v:fill focussize="0,0"/>
          <v:stroke/>
          <v:imagedata o:title=""/>
          <o:lock v:ext="edit"/>
        </v:line>
      </w:pict>
    </w:r>
    <w:r>
      <w:pict>
        <v:line id="Line 7" o:spid="_x0000_s1026" o:spt="20" style="position:absolute;left:0pt;margin-left:0pt;margin-top:-13.6pt;height:0pt;width:0.05pt;z-index:251659264;mso-width-relative:page;mso-height-relative:page;" coordsize="21600,21600" o:allowincell="f">
          <v:path arrowok="t"/>
          <v:fill focussize="0,0"/>
          <v:stroke/>
          <v:imagedata o:title=""/>
          <o:lock v:ext="edit"/>
        </v:line>
      </w:pict>
    </w:r>
    <w:r>
      <w:rPr>
        <w:rFonts w:ascii="宋体" w:hAnsi="宋体"/>
      </w:rPr>
      <w:t xml:space="preserve">1 - </w:t>
    </w: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2</w:t>
    </w:r>
    <w:r>
      <w:fldChar w:fldCharType="end"/>
    </w:r>
    <w:r>
      <w:rPr>
        <w:rFonts w:hint="eastAsia" w:ascii="宋体" w:hAnsi="宋体"/>
      </w:rPr>
      <w:t>(招标编号)XXXXXXXXXXXX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tabs>
        <w:tab w:val="left" w:pos="0"/>
        <w:tab w:val="left" w:pos="8370"/>
        <w:tab w:val="clear" w:pos="4153"/>
      </w:tabs>
      <w:ind w:right="360"/>
      <w:jc w:val="center"/>
      <w:rPr>
        <w:rFonts w:ascii="宋体" w:hAnsi="宋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98779"/>
    <w:multiLevelType w:val="singleLevel"/>
    <w:tmpl w:val="0CD98779"/>
    <w:lvl w:ilvl="0" w:tentative="0">
      <w:start w:val="1"/>
      <w:numFmt w:val="decimal"/>
      <w:suff w:val="nothing"/>
      <w:lvlText w:val="%1、"/>
      <w:lvlJc w:val="left"/>
    </w:lvl>
  </w:abstractNum>
  <w:abstractNum w:abstractNumId="1">
    <w:nsid w:val="57756BED"/>
    <w:multiLevelType w:val="multilevel"/>
    <w:tmpl w:val="57756BED"/>
    <w:lvl w:ilvl="0" w:tentative="0">
      <w:start w:val="1"/>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2">
    <w:nsid w:val="5F6B51F0"/>
    <w:multiLevelType w:val="multilevel"/>
    <w:tmpl w:val="5F6B51F0"/>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AB18C8"/>
    <w:multiLevelType w:val="multilevel"/>
    <w:tmpl w:val="61AB18C8"/>
    <w:lvl w:ilvl="0" w:tentative="0">
      <w:start w:val="3"/>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JjMTJkOTAxODRlM2Y2N2Y0Y2JhNzhhNThiZjkyOTEifQ=="/>
  </w:docVars>
  <w:rsids>
    <w:rsidRoot w:val="0A94752D"/>
    <w:rsid w:val="000073C0"/>
    <w:rsid w:val="0005539B"/>
    <w:rsid w:val="000658A9"/>
    <w:rsid w:val="00065A79"/>
    <w:rsid w:val="0008386A"/>
    <w:rsid w:val="00086340"/>
    <w:rsid w:val="00090E30"/>
    <w:rsid w:val="00091CBC"/>
    <w:rsid w:val="000940D4"/>
    <w:rsid w:val="000B30BC"/>
    <w:rsid w:val="000B52E0"/>
    <w:rsid w:val="000C0F12"/>
    <w:rsid w:val="000C262F"/>
    <w:rsid w:val="000C6327"/>
    <w:rsid w:val="000D5AF5"/>
    <w:rsid w:val="001017FE"/>
    <w:rsid w:val="00107A1F"/>
    <w:rsid w:val="001229E8"/>
    <w:rsid w:val="00141C60"/>
    <w:rsid w:val="00143733"/>
    <w:rsid w:val="00147FC8"/>
    <w:rsid w:val="001544D6"/>
    <w:rsid w:val="00155B2E"/>
    <w:rsid w:val="001867C4"/>
    <w:rsid w:val="001C11DD"/>
    <w:rsid w:val="001E14F5"/>
    <w:rsid w:val="00211EE2"/>
    <w:rsid w:val="00214B8D"/>
    <w:rsid w:val="00241C2C"/>
    <w:rsid w:val="0024409F"/>
    <w:rsid w:val="00253D13"/>
    <w:rsid w:val="00264B8F"/>
    <w:rsid w:val="00265842"/>
    <w:rsid w:val="002833EA"/>
    <w:rsid w:val="0028464B"/>
    <w:rsid w:val="002959C3"/>
    <w:rsid w:val="002A087E"/>
    <w:rsid w:val="002A3861"/>
    <w:rsid w:val="002A7CE7"/>
    <w:rsid w:val="002E2059"/>
    <w:rsid w:val="002E7742"/>
    <w:rsid w:val="002F352A"/>
    <w:rsid w:val="002F7CBD"/>
    <w:rsid w:val="0030696E"/>
    <w:rsid w:val="0031564B"/>
    <w:rsid w:val="00321055"/>
    <w:rsid w:val="00324432"/>
    <w:rsid w:val="00337FDD"/>
    <w:rsid w:val="00341245"/>
    <w:rsid w:val="0035210A"/>
    <w:rsid w:val="00386324"/>
    <w:rsid w:val="00386581"/>
    <w:rsid w:val="00397137"/>
    <w:rsid w:val="003C2118"/>
    <w:rsid w:val="003C260C"/>
    <w:rsid w:val="003D25A0"/>
    <w:rsid w:val="003D336A"/>
    <w:rsid w:val="003E668F"/>
    <w:rsid w:val="004033A1"/>
    <w:rsid w:val="00405598"/>
    <w:rsid w:val="00414190"/>
    <w:rsid w:val="00445DC8"/>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1483C"/>
    <w:rsid w:val="006442D3"/>
    <w:rsid w:val="00673F73"/>
    <w:rsid w:val="00680C98"/>
    <w:rsid w:val="00680F62"/>
    <w:rsid w:val="0068398C"/>
    <w:rsid w:val="006A0317"/>
    <w:rsid w:val="006A2B17"/>
    <w:rsid w:val="006B40C9"/>
    <w:rsid w:val="006B4210"/>
    <w:rsid w:val="006C161E"/>
    <w:rsid w:val="006C318D"/>
    <w:rsid w:val="006D102F"/>
    <w:rsid w:val="006D28C5"/>
    <w:rsid w:val="006F23B5"/>
    <w:rsid w:val="00712540"/>
    <w:rsid w:val="00717E04"/>
    <w:rsid w:val="00720D2F"/>
    <w:rsid w:val="007234B4"/>
    <w:rsid w:val="0073466A"/>
    <w:rsid w:val="007402F4"/>
    <w:rsid w:val="00740527"/>
    <w:rsid w:val="0076069E"/>
    <w:rsid w:val="00774D20"/>
    <w:rsid w:val="007A56AD"/>
    <w:rsid w:val="007B58A2"/>
    <w:rsid w:val="007E2769"/>
    <w:rsid w:val="007F6055"/>
    <w:rsid w:val="007F75A1"/>
    <w:rsid w:val="00807201"/>
    <w:rsid w:val="00826629"/>
    <w:rsid w:val="008357F2"/>
    <w:rsid w:val="008439AA"/>
    <w:rsid w:val="00843D5C"/>
    <w:rsid w:val="00853C76"/>
    <w:rsid w:val="00860701"/>
    <w:rsid w:val="00871C89"/>
    <w:rsid w:val="00874608"/>
    <w:rsid w:val="00881C7C"/>
    <w:rsid w:val="00884A95"/>
    <w:rsid w:val="00897B6A"/>
    <w:rsid w:val="008A14AB"/>
    <w:rsid w:val="008C2B18"/>
    <w:rsid w:val="008F70F1"/>
    <w:rsid w:val="00904F0E"/>
    <w:rsid w:val="00906642"/>
    <w:rsid w:val="00907797"/>
    <w:rsid w:val="0091023F"/>
    <w:rsid w:val="00910869"/>
    <w:rsid w:val="009140D0"/>
    <w:rsid w:val="00931B4C"/>
    <w:rsid w:val="00936812"/>
    <w:rsid w:val="00950F3F"/>
    <w:rsid w:val="00951C29"/>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91526"/>
    <w:rsid w:val="00A92A34"/>
    <w:rsid w:val="00A9461F"/>
    <w:rsid w:val="00AC2D52"/>
    <w:rsid w:val="00AC47D1"/>
    <w:rsid w:val="00AF36EA"/>
    <w:rsid w:val="00AF4568"/>
    <w:rsid w:val="00B01FEB"/>
    <w:rsid w:val="00B06BC2"/>
    <w:rsid w:val="00B10E03"/>
    <w:rsid w:val="00B21592"/>
    <w:rsid w:val="00B24BA3"/>
    <w:rsid w:val="00B36A94"/>
    <w:rsid w:val="00B42289"/>
    <w:rsid w:val="00B429C1"/>
    <w:rsid w:val="00B45DF8"/>
    <w:rsid w:val="00B46B0F"/>
    <w:rsid w:val="00B50BEF"/>
    <w:rsid w:val="00B5102D"/>
    <w:rsid w:val="00B657F6"/>
    <w:rsid w:val="00B670C6"/>
    <w:rsid w:val="00B701B1"/>
    <w:rsid w:val="00B70AB1"/>
    <w:rsid w:val="00B75B83"/>
    <w:rsid w:val="00B93A73"/>
    <w:rsid w:val="00BA4960"/>
    <w:rsid w:val="00BB3953"/>
    <w:rsid w:val="00BF0F6B"/>
    <w:rsid w:val="00C06700"/>
    <w:rsid w:val="00C17634"/>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A2B14"/>
    <w:rsid w:val="00CC044B"/>
    <w:rsid w:val="00CC1C3B"/>
    <w:rsid w:val="00CD642F"/>
    <w:rsid w:val="00CD70A9"/>
    <w:rsid w:val="00CD7E27"/>
    <w:rsid w:val="00D0259B"/>
    <w:rsid w:val="00D0364F"/>
    <w:rsid w:val="00D23044"/>
    <w:rsid w:val="00D371B7"/>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3321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351"/>
    <w:rsid w:val="00F40B75"/>
    <w:rsid w:val="00F4215F"/>
    <w:rsid w:val="00F47DDB"/>
    <w:rsid w:val="00F70F40"/>
    <w:rsid w:val="00F75A2C"/>
    <w:rsid w:val="00F828BD"/>
    <w:rsid w:val="00F934FB"/>
    <w:rsid w:val="00F93D47"/>
    <w:rsid w:val="00FA245D"/>
    <w:rsid w:val="00FA2AA9"/>
    <w:rsid w:val="00FD0792"/>
    <w:rsid w:val="00FD2C54"/>
    <w:rsid w:val="010D51DA"/>
    <w:rsid w:val="018220D0"/>
    <w:rsid w:val="07183498"/>
    <w:rsid w:val="0A6E4501"/>
    <w:rsid w:val="0A94752D"/>
    <w:rsid w:val="0E806D4F"/>
    <w:rsid w:val="155B7BC3"/>
    <w:rsid w:val="1A0278E7"/>
    <w:rsid w:val="1D402AE1"/>
    <w:rsid w:val="20E60AB1"/>
    <w:rsid w:val="227B34E6"/>
    <w:rsid w:val="23AA4A9F"/>
    <w:rsid w:val="2503339F"/>
    <w:rsid w:val="259366DD"/>
    <w:rsid w:val="29975AA3"/>
    <w:rsid w:val="2E690A00"/>
    <w:rsid w:val="2E735048"/>
    <w:rsid w:val="30E76E49"/>
    <w:rsid w:val="32EF7A08"/>
    <w:rsid w:val="3DF26C11"/>
    <w:rsid w:val="409910B6"/>
    <w:rsid w:val="65A429C4"/>
    <w:rsid w:val="66D401AA"/>
    <w:rsid w:val="7244657F"/>
    <w:rsid w:val="79A54A65"/>
    <w:rsid w:val="7A4E463B"/>
    <w:rsid w:val="7BE651C7"/>
    <w:rsid w:val="7ECF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3"/>
    <w:basedOn w:val="1"/>
    <w:next w:val="1"/>
    <w:autoRedefine/>
    <w:qFormat/>
    <w:uiPriority w:val="9"/>
    <w:pPr>
      <w:widowControl w:val="0"/>
      <w:tabs>
        <w:tab w:val="left" w:pos="3731"/>
      </w:tabs>
      <w:spacing w:line="360" w:lineRule="auto"/>
      <w:ind w:left="3731" w:hanging="851"/>
      <w:jc w:val="both"/>
      <w:outlineLvl w:val="2"/>
    </w:pPr>
    <w:rPr>
      <w:rFonts w:ascii="宋体"/>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widowControl w:val="0"/>
    </w:pPr>
    <w:rPr>
      <w:kern w:val="2"/>
    </w:rPr>
  </w:style>
  <w:style w:type="paragraph" w:styleId="4">
    <w:name w:val="Body Text"/>
    <w:basedOn w:val="1"/>
    <w:autoRedefine/>
    <w:unhideWhenUsed/>
    <w:qFormat/>
    <w:uiPriority w:val="99"/>
    <w:pPr>
      <w:spacing w:line="360" w:lineRule="auto"/>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pPr>
    <w:rPr>
      <w:sz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autoRedefine/>
    <w:unhideWhenUsed/>
    <w:uiPriority w:val="39"/>
    <w:pPr>
      <w:tabs>
        <w:tab w:val="left" w:pos="1080"/>
      </w:tabs>
      <w:spacing w:before="120" w:after="120"/>
      <w:ind w:left="899" w:leftChars="428"/>
      <w:jc w:val="both"/>
    </w:pPr>
    <w:rPr>
      <w:rFonts w:ascii="宋体"/>
      <w:b/>
      <w:bCs/>
      <w:szCs w:val="21"/>
    </w:rPr>
  </w:style>
  <w:style w:type="paragraph" w:styleId="9">
    <w:name w:val="Body Text Indent 3"/>
    <w:basedOn w:val="1"/>
    <w:autoRedefine/>
    <w:unhideWhenUsed/>
    <w:qFormat/>
    <w:uiPriority w:val="99"/>
    <w:pPr>
      <w:spacing w:line="360" w:lineRule="auto"/>
      <w:ind w:firstLine="783" w:firstLineChars="373"/>
    </w:pPr>
    <w:rPr>
      <w:rFonts w:hAnsi="宋体"/>
    </w:rPr>
  </w:style>
  <w:style w:type="paragraph" w:styleId="10">
    <w:name w:val="Normal (Web)"/>
    <w:basedOn w:val="1"/>
    <w:autoRedefine/>
    <w:qFormat/>
    <w:uiPriority w:val="0"/>
    <w:pPr>
      <w:spacing w:before="100" w:beforeAutospacing="1" w:after="100" w:afterAutospacing="1"/>
    </w:pPr>
    <w:rPr>
      <w:rFonts w:ascii="宋体" w:hAnsi="宋体" w:cs="宋体"/>
      <w:sz w:val="24"/>
      <w:szCs w:val="24"/>
    </w:rPr>
  </w:style>
  <w:style w:type="character" w:styleId="13">
    <w:name w:val="Strong"/>
    <w:basedOn w:val="12"/>
    <w:autoRedefine/>
    <w:qFormat/>
    <w:uiPriority w:val="22"/>
    <w:rPr>
      <w:b/>
    </w:rPr>
  </w:style>
  <w:style w:type="character" w:styleId="14">
    <w:name w:val="page number"/>
    <w:basedOn w:val="12"/>
    <w:autoRedefine/>
    <w:unhideWhenUsed/>
    <w:qFormat/>
    <w:uiPriority w:val="99"/>
  </w:style>
  <w:style w:type="paragraph" w:customStyle="1" w:styleId="15">
    <w:name w:val="_Style 1"/>
    <w:basedOn w:val="1"/>
    <w:autoRedefine/>
    <w:qFormat/>
    <w:uiPriority w:val="0"/>
    <w:pPr>
      <w:spacing w:after="160" w:line="240" w:lineRule="exact"/>
    </w:pPr>
    <w:rPr>
      <w:rFonts w:ascii="Verdana" w:hAnsi="Verdana" w:eastAsia="仿宋_GB2312"/>
      <w:sz w:val="24"/>
      <w:lang w:eastAsia="en-US"/>
    </w:rPr>
  </w:style>
  <w:style w:type="character" w:customStyle="1" w:styleId="16">
    <w:name w:val="页脚 Char"/>
    <w:link w:val="6"/>
    <w:autoRedefine/>
    <w:qFormat/>
    <w:locked/>
    <w:uiPriority w:val="99"/>
    <w:rPr>
      <w:sz w:val="18"/>
    </w:rPr>
  </w:style>
  <w:style w:type="character" w:customStyle="1" w:styleId="17">
    <w:name w:val="页眉 Char"/>
    <w:link w:val="7"/>
    <w:autoRedefine/>
    <w:qFormat/>
    <w:uiPriority w:val="99"/>
    <w:rPr>
      <w:sz w:val="18"/>
    </w:rPr>
  </w:style>
  <w:style w:type="character" w:customStyle="1" w:styleId="18">
    <w:name w:val="批注框文本 Char"/>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3128</Words>
  <Characters>3312</Characters>
  <Lines>27</Lines>
  <Paragraphs>7</Paragraphs>
  <TotalTime>0</TotalTime>
  <ScaleCrop>false</ScaleCrop>
  <LinksUpToDate>false</LinksUpToDate>
  <CharactersWithSpaces>3499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2010-02-15T17:56:00Z</dcterms:created>
  <dc:creator>设备部</dc:creator>
  <cp:lastModifiedBy>_Soso</cp:lastModifiedBy>
  <cp:lastPrinted>2022-09-06T02:11:00Z</cp:lastPrinted>
  <dcterms:modified xsi:type="dcterms:W3CDTF">2024-01-11T08:51:11Z</dcterms:modified>
  <dc:title>广州白云山明兴制药有限公司</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59B85EC08E954537829FE85AED9AFBD0</vt:lpwstr>
  </property>
</Properties>
</file>