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Toc302564004"/>
      <w:bookmarkStart w:id="1" w:name="_Toc450905282"/>
      <w:bookmarkStart w:id="2" w:name="_Toc288827310"/>
      <w:bookmarkStart w:id="3" w:name="_Toc340348721"/>
      <w:bookmarkStart w:id="4" w:name="_Toc28454"/>
      <w:bookmarkStart w:id="5" w:name="_Toc28115"/>
    </w:p>
    <w:p>
      <w:pPr>
        <w:jc w:val="center"/>
        <w:rPr>
          <w:b/>
          <w:sz w:val="52"/>
          <w:szCs w:val="52"/>
        </w:rPr>
      </w:pPr>
    </w:p>
    <w:p>
      <w:pPr>
        <w:jc w:val="center"/>
        <w:rPr>
          <w:b/>
          <w:sz w:val="52"/>
          <w:szCs w:val="52"/>
        </w:rPr>
      </w:pPr>
    </w:p>
    <w:p>
      <w:pPr>
        <w:jc w:val="center"/>
        <w:rPr>
          <w:b/>
          <w:sz w:val="52"/>
          <w:szCs w:val="52"/>
        </w:rPr>
      </w:pPr>
      <w:r>
        <w:rPr>
          <w:rFonts w:hint="eastAsia"/>
          <w:b/>
          <w:sz w:val="52"/>
          <w:szCs w:val="52"/>
        </w:rPr>
        <w:t>广州白云山明兴制药有限公司</w:t>
      </w:r>
    </w:p>
    <w:p>
      <w:pPr>
        <w:jc w:val="center"/>
        <w:rPr>
          <w:b/>
          <w:sz w:val="52"/>
          <w:szCs w:val="52"/>
        </w:rPr>
      </w:pPr>
      <w:r>
        <w:rPr>
          <w:rFonts w:hint="eastAsia"/>
          <w:b/>
          <w:sz w:val="52"/>
          <w:szCs w:val="52"/>
        </w:rPr>
        <w:t>用户需求书</w:t>
      </w:r>
    </w:p>
    <w:p>
      <w:pPr>
        <w:rPr>
          <w:b/>
          <w:sz w:val="52"/>
          <w:szCs w:val="52"/>
        </w:rPr>
      </w:pPr>
    </w:p>
    <w:p>
      <w:pPr>
        <w:rPr>
          <w:b/>
          <w:sz w:val="52"/>
          <w:szCs w:val="52"/>
        </w:rPr>
      </w:pPr>
    </w:p>
    <w:p>
      <w:pPr>
        <w:spacing w:before="100" w:beforeAutospacing="1" w:after="100" w:afterAutospacing="1"/>
        <w:ind w:firstLine="361" w:firstLineChars="100"/>
        <w:rPr>
          <w:b/>
          <w:sz w:val="36"/>
          <w:szCs w:val="36"/>
        </w:rPr>
      </w:pPr>
      <w:r>
        <w:rPr>
          <w:b/>
          <w:sz w:val="36"/>
          <w:szCs w:val="36"/>
        </w:rPr>
        <w:pict>
          <v:line id="直接连接符 6" o:spid="_x0000_s1026" o:spt="20" style="position:absolute;left:0pt;margin-left:106.75pt;margin-top:39pt;height:0.05pt;width:288.5pt;z-index:251659264;mso-width-relative:page;mso-height-relative:page;" coordsize="21600,21600" o:gfxdata="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5&#10;Q8TWAAAACQEAAA8AAAAAAAAAAQAgAAAAIgAAAGRycy9kb3ducmV2LnhtbFBLAQIUABQAAAAIAIdO&#10;4kCGPCJC7AEAALoDAAAOAAAAAAAAAAEAIAAAACUBAABkcnMvZTJvRG9jLnhtbFBLBQYAAAAABgAG&#10;AFkBAACDBQAAAAA=&#10;">
            <v:path arrowok="t"/>
            <v:fill focussize="0,0"/>
            <v:stroke/>
            <v:imagedata o:title=""/>
            <o:lock v:ext="edit"/>
          </v:line>
        </w:pict>
      </w:r>
      <w:r>
        <w:rPr>
          <w:rFonts w:hint="eastAsia"/>
          <w:b/>
          <w:sz w:val="36"/>
          <w:szCs w:val="36"/>
        </w:rPr>
        <w:t>项目名称：</w:t>
      </w:r>
      <w:r>
        <w:rPr>
          <w:rFonts w:hint="eastAsia" w:ascii="宋体" w:hAnsi="宋体"/>
          <w:b/>
          <w:sz w:val="36"/>
          <w:szCs w:val="36"/>
        </w:rPr>
        <w:t>实验室湿法混合制粒机购置</w:t>
      </w: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tabs>
          <w:tab w:val="center" w:pos="4153"/>
        </w:tabs>
        <w:spacing w:before="100" w:beforeAutospacing="1" w:after="100" w:afterAutospacing="1" w:line="480" w:lineRule="auto"/>
        <w:rPr>
          <w:rFonts w:ascii="宋体" w:hAnsi="宋体"/>
          <w:b/>
          <w:sz w:val="28"/>
          <w:szCs w:val="28"/>
        </w:rPr>
      </w:pPr>
      <w:r>
        <w:rPr>
          <w:rFonts w:ascii="宋体" w:hAnsi="宋体"/>
          <w:b/>
          <w:sz w:val="28"/>
          <w:szCs w:val="28"/>
        </w:rPr>
        <w:pict>
          <v:line id="直接连接符 5" o:spid="_x0000_s2054" o:spt="20" style="position:absolute;left:0pt;margin-left:104.3pt;margin-top:24.25pt;height:0pt;width:288pt;z-index:251660288;mso-width-relative:page;mso-height-relative:page;" coordsize="21600,21600" o:gfxdata="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8GJULW&#10;AAAACQEAAA8AAAAAAAAAAQAgAAAAIgAAAGRycy9kb3ducmV2LnhtbFBLAQIUABQAAAAIAIdO4kBR&#10;BHxT6QEAALgDAAAOAAAAAAAAAAEAIAAAACUBAABkcnMvZTJvRG9jLnhtbFBLBQYAAAAABgAGAFkB&#10;AACABQAAAAA=&#10;">
            <v:path arrowok="t"/>
            <v:fill focussize="0,0"/>
            <v:stroke/>
            <v:imagedata o:title=""/>
            <o:lock v:ext="edit"/>
          </v:line>
        </w:pict>
      </w:r>
      <w:r>
        <w:rPr>
          <w:rFonts w:hint="eastAsia" w:ascii="宋体" w:hAnsi="宋体"/>
          <w:b/>
          <w:sz w:val="28"/>
          <w:szCs w:val="28"/>
        </w:rPr>
        <w:t>拟稿人：</w:t>
      </w:r>
      <w:r>
        <w:rPr>
          <w:rFonts w:ascii="宋体" w:hAnsi="宋体"/>
          <w:b/>
          <w:sz w:val="28"/>
          <w:szCs w:val="28"/>
        </w:rPr>
        <w:tab/>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4" o:spid="_x0000_s2053" o:spt="20" style="position:absolute;left:0pt;margin-left:105.05pt;margin-top:22.8pt;height:0pt;width:288pt;z-index:251661312;mso-width-relative:page;mso-height-relative:page;" coordsize="21600,21600" o:gfxdata="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3OjmXW&#10;AAAACQEAAA8AAAAAAAAAAQAgAAAAIgAAAGRycy9kb3ducmV2LnhtbFBLAQIUABQAAAAIAIdO4kD3&#10;HUcX6QEAALgDAAAOAAAAAAAAAAEAIAAAACUBAABkcnMvZTJvRG9jLnhtbFBLBQYAAAAABgAGAFkB&#10;AACABQAAAAA=&#10;">
            <v:path arrowok="t"/>
            <v:fill focussize="0,0"/>
            <v:stroke/>
            <v:imagedata o:title=""/>
            <o:lock v:ext="edit"/>
          </v:line>
        </w:pict>
      </w:r>
      <w:r>
        <w:rPr>
          <w:rFonts w:hint="eastAsia" w:ascii="宋体" w:hAnsi="宋体"/>
          <w:b/>
          <w:sz w:val="28"/>
          <w:szCs w:val="28"/>
        </w:rPr>
        <w:t>部门审核：</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3" o:spid="_x0000_s2052" o:spt="20" style="position:absolute;left:0pt;margin-left:106pt;margin-top:24.8pt;height:0pt;width:288pt;z-index:251662336;mso-width-relative:page;mso-height-relative:page;" coordsize="21600,21600" o:gfxdata="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ubp9TW&#10;AAAACQEAAA8AAAAAAAAAAQAgAAAAIgAAAGRycy9kb3ducmV2LnhtbFBLAQIUABQAAAAIAIdO4kDE&#10;V5cQ6QEAALgDAAAOAAAAAAAAAAEAIAAAACUBAABkcnMvZTJvRG9jLnhtbFBLBQYAAAAABgAGAFkB&#10;AACABQAAAAA=&#10;">
            <v:path arrowok="t"/>
            <v:fill focussize="0,0"/>
            <v:stroke/>
            <v:imagedata o:title=""/>
            <o:lock v:ext="edit"/>
          </v:line>
        </w:pict>
      </w:r>
      <w:r>
        <w:rPr>
          <w:rFonts w:hint="eastAsia" w:ascii="宋体" w:hAnsi="宋体"/>
          <w:b/>
          <w:sz w:val="28"/>
          <w:szCs w:val="28"/>
        </w:rPr>
        <w:t>主管领导审核：</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2" o:spid="_x0000_s2051" o:spt="20" style="position:absolute;left:0pt;margin-left:107.8pt;margin-top:26.8pt;height:0pt;width:288pt;z-index:251663360;mso-width-relative:page;mso-height-relative:page;" coordsize="21600,21600" o:gfxdata="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QVY2TW&#10;AAAACQEAAA8AAAAAAAAAAQAgAAAAIgAAAGRycy9kb3ducmV2LnhtbFBLAQIUABQAAAAIAIdO4kBi&#10;TqxU6QEAALgDAAAOAAAAAAAAAAEAIAAAACUBAABkcnMvZTJvRG9jLnhtbFBLBQYAAAAABgAGAFkB&#10;AACABQAAAAA=&#10;">
            <v:path arrowok="t"/>
            <v:fill focussize="0,0"/>
            <v:stroke/>
            <v:imagedata o:title=""/>
            <o:lock v:ext="edit"/>
          </v:line>
        </w:pict>
      </w:r>
      <w:r>
        <w:rPr>
          <w:rFonts w:hint="eastAsia" w:ascii="宋体" w:hAnsi="宋体"/>
          <w:b/>
          <w:sz w:val="28"/>
          <w:szCs w:val="28"/>
        </w:rPr>
        <w:t>质量受权人审批：</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1" o:spid="_x0000_s2050" o:spt="20" style="position:absolute;left:0pt;margin-left:107.2pt;margin-top:25.2pt;height:0pt;width:288pt;z-index:251664384;mso-width-relative:page;mso-height-relative:page;" coordsize="21600,21600" o:gfxdata="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XeQ/1QAA&#10;AAkBAAAPAAAAAAAAAAEAIAAAACIAAABkcnMvZG93bnJldi54bWxQSwECFAAUAAAACACHTuJAiGTh&#10;mOgBAAC4AwAADgAAAAAAAAABACAAAAAkAQAAZHJzL2Uyb0RvYy54bWxQSwUGAAAAAAYABgBZAQAA&#10;fgUAAAAA&#10;">
            <v:path arrowok="t"/>
            <v:fill focussize="0,0"/>
            <v:stroke/>
            <v:imagedata o:title=""/>
            <o:lock v:ext="edit"/>
          </v:line>
        </w:pict>
      </w:r>
      <w:r>
        <w:rPr>
          <w:rFonts w:hint="eastAsia" w:ascii="宋体" w:hAnsi="宋体"/>
          <w:b/>
          <w:sz w:val="28"/>
          <w:szCs w:val="28"/>
        </w:rPr>
        <w:t>审批时间：</w:t>
      </w:r>
    </w:p>
    <w:p>
      <w:pPr>
        <w:rPr>
          <w:rFonts w:ascii="宋体" w:hAnsi="宋体"/>
          <w:b/>
          <w:kern w:val="0"/>
          <w:sz w:val="24"/>
          <w:szCs w:val="24"/>
          <w:lang w:val="da-DK"/>
        </w:rPr>
      </w:pPr>
    </w:p>
    <w:p>
      <w:pPr>
        <w:rPr>
          <w:rFonts w:ascii="宋体" w:hAnsi="宋体"/>
          <w:b/>
          <w:kern w:val="0"/>
          <w:sz w:val="24"/>
          <w:szCs w:val="24"/>
          <w:lang w:val="da-DK"/>
        </w:rPr>
      </w:pPr>
    </w:p>
    <w:p>
      <w:pPr>
        <w:rPr>
          <w:rFonts w:ascii="宋体" w:hAnsi="宋体"/>
          <w:b/>
          <w:kern w:val="0"/>
          <w:sz w:val="24"/>
          <w:szCs w:val="24"/>
          <w:lang w:val="da-DK"/>
        </w:rPr>
      </w:pPr>
      <w:r>
        <w:rPr>
          <w:rFonts w:hint="eastAsia" w:ascii="宋体" w:hAnsi="宋体"/>
          <w:b/>
          <w:kern w:val="0"/>
          <w:sz w:val="24"/>
          <w:szCs w:val="24"/>
          <w:lang w:val="da-DK"/>
        </w:rPr>
        <w:t>1</w:t>
      </w:r>
      <w:bookmarkEnd w:id="0"/>
      <w:bookmarkEnd w:id="1"/>
      <w:bookmarkEnd w:id="2"/>
      <w:bookmarkEnd w:id="3"/>
      <w:r>
        <w:rPr>
          <w:rFonts w:hint="eastAsia" w:ascii="宋体" w:hAnsi="宋体"/>
          <w:b/>
          <w:kern w:val="0"/>
          <w:sz w:val="24"/>
          <w:szCs w:val="24"/>
          <w:lang w:val="da-DK"/>
        </w:rPr>
        <w:t>简介</w:t>
      </w:r>
      <w:bookmarkEnd w:id="4"/>
      <w:bookmarkEnd w:id="5"/>
    </w:p>
    <w:p>
      <w:pPr>
        <w:pStyle w:val="20"/>
        <w:spacing w:line="360" w:lineRule="auto"/>
        <w:ind w:firstLine="480"/>
        <w:jc w:val="left"/>
        <w:rPr>
          <w:rFonts w:ascii="宋体" w:hAnsi="宋体" w:cs="Arial"/>
          <w:sz w:val="24"/>
          <w:szCs w:val="24"/>
          <w:lang w:val="en-GB"/>
        </w:rPr>
      </w:pPr>
      <w:r>
        <w:rPr>
          <w:rFonts w:hint="eastAsia" w:ascii="宋体" w:hAnsi="宋体" w:cs="Arial"/>
          <w:sz w:val="24"/>
          <w:szCs w:val="24"/>
          <w:lang w:val="en-US"/>
        </w:rPr>
        <w:t>本文是广州白云山明兴制药有限公司所编写的实验室湿法混合制粒机购置的用户需求标准，为供应商设计、制造符合我司要求的实验室湿法混合制粒机的相关设备提供依据，也为我司采购、安装、验收和后期的确认、验证提供依据。同时，此份URS也将作为供需双方签订采购合同中的重要组成部分。</w:t>
      </w:r>
    </w:p>
    <w:p>
      <w:pPr>
        <w:pStyle w:val="20"/>
        <w:spacing w:line="360" w:lineRule="auto"/>
        <w:ind w:firstLine="480"/>
        <w:rPr>
          <w:rFonts w:ascii="宋体" w:cs="宋体"/>
          <w:kern w:val="0"/>
          <w:sz w:val="24"/>
          <w:szCs w:val="24"/>
        </w:rPr>
      </w:pPr>
      <w:r>
        <w:rPr>
          <w:rFonts w:hint="eastAsia" w:ascii="宋体" w:cs="宋体"/>
          <w:kern w:val="0"/>
          <w:sz w:val="24"/>
          <w:szCs w:val="24"/>
        </w:rPr>
        <w:t>本份用户需求书详细描述了设备的用途介绍和基本需求，包括：生产要求、设备要求</w:t>
      </w:r>
      <w:r>
        <w:rPr>
          <w:rFonts w:hint="eastAsia" w:ascii="宋体" w:hAnsi="宋体" w:cs="Arial"/>
          <w:sz w:val="24"/>
          <w:szCs w:val="24"/>
          <w:lang w:val="en-GB"/>
        </w:rPr>
        <w:t>、厂房设施及公用系统要求、仪表、电气及控制系统要求、RAM（可靠性、适用性、维修性）</w:t>
      </w:r>
      <w:r>
        <w:rPr>
          <w:rFonts w:hint="eastAsia" w:ascii="宋体" w:hAnsi="宋体" w:cs="Arial"/>
          <w:sz w:val="24"/>
          <w:szCs w:val="24"/>
        </w:rPr>
        <w:t>要求</w:t>
      </w:r>
      <w:r>
        <w:rPr>
          <w:rFonts w:hint="eastAsia" w:ascii="宋体" w:hAnsi="宋体" w:cs="Arial"/>
          <w:sz w:val="24"/>
          <w:szCs w:val="24"/>
          <w:lang w:val="en-GB"/>
        </w:rPr>
        <w:t>、EHS（安全、环保、健康）要求、机械及外观要求、清洁要求和相关服务要求等。</w:t>
      </w:r>
      <w:r>
        <w:rPr>
          <w:rFonts w:hint="eastAsia" w:ascii="宋体" w:hAnsi="宋体" w:cs="Arial"/>
          <w:sz w:val="24"/>
          <w:szCs w:val="24"/>
          <w:lang w:val="en-US"/>
        </w:rPr>
        <w:t>供应商应严格按照URS中所明确的法规标准、技术和服务要求，提供相应的设备设施和服务。</w:t>
      </w:r>
    </w:p>
    <w:p>
      <w:pPr>
        <w:pStyle w:val="4"/>
        <w:tabs>
          <w:tab w:val="left" w:pos="720"/>
        </w:tabs>
        <w:spacing w:before="120" w:after="120" w:line="360" w:lineRule="auto"/>
        <w:jc w:val="left"/>
        <w:rPr>
          <w:rFonts w:ascii="宋体" w:cs="宋体"/>
          <w:szCs w:val="24"/>
          <w:lang w:val="zh-CN"/>
        </w:rPr>
      </w:pPr>
      <w:bookmarkStart w:id="6" w:name="_Toc29168"/>
      <w:bookmarkStart w:id="7" w:name="_Toc424286424"/>
      <w:bookmarkStart w:id="8" w:name="_Toc14260"/>
      <w:bookmarkStart w:id="9" w:name="_Toc424287330"/>
      <w:r>
        <w:rPr>
          <w:rFonts w:hint="eastAsia" w:ascii="宋体" w:hAnsi="宋体" w:eastAsia="宋体"/>
          <w:szCs w:val="24"/>
          <w:lang w:eastAsia="zh-CN"/>
        </w:rPr>
        <w:t>2招标范围及内容</w:t>
      </w:r>
      <w:bookmarkEnd w:id="6"/>
      <w:bookmarkEnd w:id="7"/>
      <w:bookmarkEnd w:id="8"/>
      <w:bookmarkEnd w:id="9"/>
      <w:r>
        <w:rPr>
          <w:rFonts w:hint="eastAsia" w:ascii="宋体" w:hAnsi="宋体" w:eastAsia="宋体"/>
          <w:szCs w:val="24"/>
          <w:lang w:eastAsia="zh-CN"/>
        </w:rPr>
        <w:t>如下表</w:t>
      </w:r>
    </w:p>
    <w:tbl>
      <w:tblPr>
        <w:tblStyle w:val="13"/>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635"/>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jc w:val="center"/>
              <w:rPr>
                <w:rFonts w:ascii="宋体" w:hAnsi="宋体"/>
                <w:b/>
                <w:sz w:val="28"/>
                <w:szCs w:val="28"/>
              </w:rPr>
            </w:pPr>
            <w:r>
              <w:rPr>
                <w:rFonts w:hint="eastAsia" w:ascii="宋体" w:hAnsi="宋体"/>
                <w:b/>
                <w:sz w:val="28"/>
                <w:szCs w:val="28"/>
              </w:rPr>
              <w:t>序号</w:t>
            </w:r>
          </w:p>
        </w:tc>
        <w:tc>
          <w:tcPr>
            <w:tcW w:w="4635" w:type="dxa"/>
            <w:vAlign w:val="center"/>
          </w:tcPr>
          <w:p>
            <w:pPr>
              <w:jc w:val="center"/>
              <w:rPr>
                <w:rFonts w:ascii="宋体" w:hAnsi="宋体"/>
                <w:b/>
                <w:sz w:val="28"/>
                <w:szCs w:val="28"/>
              </w:rPr>
            </w:pPr>
            <w:r>
              <w:rPr>
                <w:rFonts w:hint="eastAsia" w:ascii="宋体" w:hAnsi="宋体"/>
                <w:b/>
                <w:sz w:val="28"/>
                <w:szCs w:val="28"/>
              </w:rPr>
              <w:t>招标范围及内容</w:t>
            </w:r>
          </w:p>
        </w:tc>
        <w:tc>
          <w:tcPr>
            <w:tcW w:w="3144" w:type="dxa"/>
            <w:vAlign w:val="center"/>
          </w:tcPr>
          <w:p>
            <w:pPr>
              <w:jc w:val="center"/>
              <w:rPr>
                <w:rFonts w:ascii="宋体" w:hAnsi="宋体"/>
                <w:b/>
                <w:sz w:val="28"/>
                <w:szCs w:val="28"/>
              </w:rPr>
            </w:pPr>
            <w:r>
              <w:rPr>
                <w:rFonts w:hint="eastAsia" w:ascii="宋体" w:hAnsi="宋体"/>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7" w:type="dxa"/>
            <w:vAlign w:val="center"/>
          </w:tcPr>
          <w:p>
            <w:pPr>
              <w:jc w:val="center"/>
              <w:rPr>
                <w:rFonts w:ascii="宋体" w:hAnsi="宋体"/>
                <w:b/>
                <w:sz w:val="28"/>
                <w:szCs w:val="28"/>
              </w:rPr>
            </w:pPr>
            <w:r>
              <w:rPr>
                <w:rFonts w:hint="eastAsia" w:ascii="宋体" w:hAnsi="宋体"/>
                <w:b/>
                <w:sz w:val="28"/>
                <w:szCs w:val="28"/>
              </w:rPr>
              <w:t>1</w:t>
            </w:r>
          </w:p>
        </w:tc>
        <w:tc>
          <w:tcPr>
            <w:tcW w:w="4635" w:type="dxa"/>
            <w:vAlign w:val="center"/>
          </w:tcPr>
          <w:p>
            <w:pPr>
              <w:jc w:val="center"/>
              <w:rPr>
                <w:rFonts w:ascii="宋体" w:hAnsi="宋体"/>
                <w:b/>
                <w:sz w:val="28"/>
                <w:szCs w:val="28"/>
              </w:rPr>
            </w:pPr>
            <w:r>
              <w:rPr>
                <w:rFonts w:hint="eastAsia" w:ascii="宋体" w:hAnsi="宋体"/>
                <w:b/>
                <w:sz w:val="28"/>
                <w:szCs w:val="28"/>
              </w:rPr>
              <w:t>实验室湿法混合制粒机</w:t>
            </w:r>
          </w:p>
        </w:tc>
        <w:tc>
          <w:tcPr>
            <w:tcW w:w="3144" w:type="dxa"/>
          </w:tcPr>
          <w:p>
            <w:pPr>
              <w:jc w:val="center"/>
              <w:rPr>
                <w:rFonts w:ascii="宋体" w:hAnsi="宋体"/>
                <w:b/>
                <w:sz w:val="28"/>
                <w:szCs w:val="28"/>
              </w:rPr>
            </w:pPr>
            <w:r>
              <w:rPr>
                <w:rFonts w:hint="eastAsia" w:ascii="宋体" w:hAnsi="宋体"/>
                <w:b/>
                <w:sz w:val="28"/>
                <w:szCs w:val="28"/>
              </w:rPr>
              <w:t>1台</w:t>
            </w:r>
          </w:p>
        </w:tc>
      </w:tr>
    </w:tbl>
    <w:p>
      <w:pPr>
        <w:pStyle w:val="4"/>
        <w:tabs>
          <w:tab w:val="left" w:pos="720"/>
        </w:tabs>
        <w:spacing w:before="120" w:after="120" w:line="360" w:lineRule="auto"/>
        <w:jc w:val="left"/>
        <w:rPr>
          <w:rFonts w:ascii="宋体" w:hAnsi="宋体" w:eastAsia="宋体"/>
          <w:szCs w:val="24"/>
          <w:lang w:eastAsia="zh-CN"/>
        </w:rPr>
      </w:pPr>
      <w:bookmarkStart w:id="10" w:name="_Toc26762"/>
      <w:bookmarkStart w:id="11" w:name="_Toc5995"/>
      <w:r>
        <w:rPr>
          <w:rFonts w:hint="eastAsia" w:ascii="宋体" w:hAnsi="宋体" w:eastAsia="宋体"/>
          <w:szCs w:val="24"/>
          <w:lang w:val="en-US" w:eastAsia="zh-CN"/>
        </w:rPr>
        <w:t>3</w:t>
      </w:r>
      <w:r>
        <w:rPr>
          <w:rFonts w:hint="eastAsia" w:ascii="宋体" w:hAnsi="宋体" w:eastAsia="宋体"/>
          <w:szCs w:val="24"/>
          <w:lang w:eastAsia="zh-CN"/>
        </w:rPr>
        <w:t>法规和国家标准</w:t>
      </w:r>
      <w:bookmarkEnd w:id="10"/>
      <w:bookmarkEnd w:id="11"/>
      <w:bookmarkStart w:id="12" w:name="_Ref450560553"/>
    </w:p>
    <w:p>
      <w:pPr>
        <w:spacing w:before="120" w:after="120" w:line="360" w:lineRule="auto"/>
        <w:ind w:firstLine="480" w:firstLineChars="200"/>
        <w:rPr>
          <w:rFonts w:ascii="Arial" w:hAnsi="Arial" w:cs="Arial"/>
        </w:rPr>
      </w:pPr>
      <w:r>
        <w:rPr>
          <w:rFonts w:hint="eastAsia" w:ascii="宋体" w:hAnsi="宋体" w:cs="Arial"/>
          <w:sz w:val="24"/>
          <w:szCs w:val="24"/>
        </w:rPr>
        <w:t>供应商在设计、制造本次实验室湿法混合制粒机相关设备的过程中，必须符合相关法规和行业标准等要求，主要包括：</w:t>
      </w:r>
    </w:p>
    <w:p>
      <w:pPr>
        <w:numPr>
          <w:ilvl w:val="0"/>
          <w:numId w:val="1"/>
        </w:numPr>
        <w:spacing w:line="360" w:lineRule="exact"/>
        <w:rPr>
          <w:rFonts w:ascii="宋体" w:hAnsi="宋体"/>
          <w:sz w:val="24"/>
          <w:szCs w:val="24"/>
        </w:rPr>
      </w:pPr>
      <w:r>
        <w:rPr>
          <w:rFonts w:hint="eastAsia" w:ascii="宋体" w:hAnsi="宋体"/>
          <w:sz w:val="24"/>
          <w:szCs w:val="24"/>
        </w:rPr>
        <w:t>《药品生产质量管理规范(GMP)》及附录（2010版）</w:t>
      </w:r>
    </w:p>
    <w:p>
      <w:pPr>
        <w:numPr>
          <w:ilvl w:val="0"/>
          <w:numId w:val="1"/>
        </w:numPr>
        <w:spacing w:line="360" w:lineRule="exact"/>
        <w:rPr>
          <w:rFonts w:ascii="宋体" w:hAnsi="宋体"/>
          <w:sz w:val="24"/>
          <w:szCs w:val="24"/>
        </w:rPr>
      </w:pPr>
      <w:r>
        <w:rPr>
          <w:rFonts w:hint="eastAsia" w:ascii="宋体" w:hAnsi="宋体"/>
          <w:sz w:val="24"/>
          <w:szCs w:val="24"/>
        </w:rPr>
        <w:t>中华人民共和国药典</w:t>
      </w:r>
    </w:p>
    <w:p>
      <w:pPr>
        <w:numPr>
          <w:ilvl w:val="0"/>
          <w:numId w:val="1"/>
        </w:numPr>
        <w:spacing w:line="360" w:lineRule="exact"/>
        <w:rPr>
          <w:rFonts w:ascii="宋体" w:hAnsi="宋体"/>
          <w:sz w:val="24"/>
          <w:szCs w:val="24"/>
        </w:rPr>
      </w:pPr>
      <w:r>
        <w:rPr>
          <w:rFonts w:hint="eastAsia" w:ascii="宋体" w:hAnsi="宋体"/>
          <w:sz w:val="24"/>
          <w:szCs w:val="24"/>
        </w:rPr>
        <w:t>中华人民共和国药品管理法实施条例</w:t>
      </w:r>
    </w:p>
    <w:p>
      <w:pPr>
        <w:numPr>
          <w:ilvl w:val="0"/>
          <w:numId w:val="1"/>
        </w:numPr>
        <w:spacing w:line="360" w:lineRule="exact"/>
        <w:rPr>
          <w:rFonts w:ascii="宋体" w:hAnsi="宋体"/>
          <w:sz w:val="24"/>
          <w:szCs w:val="24"/>
        </w:rPr>
      </w:pPr>
      <w:r>
        <w:rPr>
          <w:rFonts w:hint="eastAsia" w:ascii="宋体" w:hAnsi="宋体"/>
          <w:sz w:val="24"/>
          <w:szCs w:val="24"/>
        </w:rPr>
        <w:t>中国制药装备协会所颁布的制药工程设备标准</w:t>
      </w:r>
    </w:p>
    <w:p>
      <w:pPr>
        <w:numPr>
          <w:ilvl w:val="0"/>
          <w:numId w:val="1"/>
        </w:numPr>
        <w:spacing w:line="360" w:lineRule="exact"/>
        <w:rPr>
          <w:rFonts w:ascii="宋体" w:hAnsi="宋体"/>
          <w:sz w:val="24"/>
          <w:szCs w:val="24"/>
        </w:rPr>
      </w:pPr>
      <w:r>
        <w:rPr>
          <w:rFonts w:hint="eastAsia" w:ascii="宋体" w:hAnsi="宋体"/>
          <w:sz w:val="24"/>
          <w:szCs w:val="24"/>
        </w:rPr>
        <w:t>ISPE（国际制药工程协会）所颁布的制药工程设备标准</w:t>
      </w:r>
    </w:p>
    <w:p>
      <w:pPr>
        <w:numPr>
          <w:ilvl w:val="0"/>
          <w:numId w:val="1"/>
        </w:numPr>
        <w:spacing w:line="360" w:lineRule="exact"/>
        <w:rPr>
          <w:rFonts w:ascii="宋体" w:hAnsi="宋体"/>
          <w:sz w:val="24"/>
          <w:szCs w:val="24"/>
        </w:rPr>
      </w:pPr>
      <w:r>
        <w:rPr>
          <w:rFonts w:hint="eastAsia" w:ascii="宋体" w:hAnsi="宋体"/>
          <w:sz w:val="24"/>
          <w:szCs w:val="24"/>
        </w:rPr>
        <w:t>中国制药装备协会所颁布的制药工程设备标准</w:t>
      </w:r>
    </w:p>
    <w:p>
      <w:pPr>
        <w:numPr>
          <w:ilvl w:val="0"/>
          <w:numId w:val="1"/>
        </w:numPr>
        <w:spacing w:line="360" w:lineRule="exact"/>
        <w:rPr>
          <w:rFonts w:ascii="宋体" w:hAnsi="宋体"/>
          <w:sz w:val="24"/>
          <w:szCs w:val="24"/>
        </w:rPr>
      </w:pPr>
      <w:r>
        <w:rPr>
          <w:rFonts w:hint="eastAsia" w:ascii="宋体" w:hAnsi="宋体"/>
          <w:sz w:val="24"/>
          <w:szCs w:val="24"/>
        </w:rPr>
        <w:t>国际电工组织 IEC 1131 第 3部分</w:t>
      </w:r>
    </w:p>
    <w:p>
      <w:pPr>
        <w:numPr>
          <w:ilvl w:val="0"/>
          <w:numId w:val="1"/>
        </w:numPr>
        <w:spacing w:line="360" w:lineRule="exact"/>
        <w:rPr>
          <w:rFonts w:ascii="宋体" w:hAnsi="宋体"/>
          <w:sz w:val="24"/>
          <w:szCs w:val="24"/>
        </w:rPr>
      </w:pPr>
      <w:r>
        <w:rPr>
          <w:rFonts w:hint="eastAsia" w:ascii="宋体" w:hAnsi="宋体"/>
          <w:sz w:val="24"/>
          <w:szCs w:val="24"/>
        </w:rPr>
        <w:t>环境管理体系ISO14001</w:t>
      </w:r>
    </w:p>
    <w:p>
      <w:pPr>
        <w:numPr>
          <w:ilvl w:val="0"/>
          <w:numId w:val="1"/>
        </w:numPr>
        <w:spacing w:line="360" w:lineRule="exact"/>
        <w:rPr>
          <w:rFonts w:ascii="宋体" w:hAnsi="宋体"/>
          <w:sz w:val="24"/>
          <w:szCs w:val="24"/>
        </w:rPr>
      </w:pPr>
      <w:r>
        <w:rPr>
          <w:rFonts w:hint="eastAsia" w:ascii="宋体" w:hAnsi="宋体"/>
          <w:sz w:val="24"/>
          <w:szCs w:val="24"/>
        </w:rPr>
        <w:t>职业健康安全管理体系OSAHS18001</w:t>
      </w:r>
    </w:p>
    <w:p>
      <w:pPr>
        <w:snapToGrid w:val="0"/>
        <w:spacing w:line="360" w:lineRule="auto"/>
        <w:rPr>
          <w:rFonts w:ascii="宋体" w:hAnsi="宋体" w:cs="宋体"/>
          <w:sz w:val="24"/>
        </w:rPr>
      </w:pPr>
    </w:p>
    <w:bookmarkEnd w:id="12"/>
    <w:p>
      <w:pPr>
        <w:pStyle w:val="4"/>
        <w:spacing w:before="120" w:after="120" w:line="360" w:lineRule="auto"/>
        <w:jc w:val="both"/>
        <w:rPr>
          <w:rFonts w:ascii="宋体" w:hAnsi="宋体" w:eastAsia="宋体"/>
          <w:szCs w:val="24"/>
          <w:lang w:eastAsia="zh-CN"/>
        </w:rPr>
      </w:pPr>
      <w:bookmarkStart w:id="13" w:name="_Toc35764266"/>
      <w:bookmarkEnd w:id="13"/>
      <w:bookmarkStart w:id="14" w:name="_Toc35745966"/>
      <w:bookmarkEnd w:id="14"/>
      <w:bookmarkStart w:id="15" w:name="_Toc35746522"/>
      <w:bookmarkEnd w:id="15"/>
      <w:bookmarkStart w:id="16" w:name="_Toc35744288"/>
      <w:bookmarkEnd w:id="16"/>
      <w:bookmarkStart w:id="17" w:name="_Toc14843"/>
      <w:bookmarkStart w:id="18" w:name="_Toc24693"/>
      <w:bookmarkStart w:id="19" w:name="_Toc340348727"/>
      <w:bookmarkStart w:id="20" w:name="_Toc450905288"/>
      <w:r>
        <w:rPr>
          <w:rFonts w:hint="eastAsia" w:ascii="宋体" w:hAnsi="宋体" w:eastAsia="宋体"/>
          <w:bCs/>
          <w:szCs w:val="24"/>
          <w:lang w:eastAsia="zh-CN"/>
        </w:rPr>
        <w:t>4 生产线</w:t>
      </w:r>
      <w:r>
        <w:rPr>
          <w:rFonts w:hint="eastAsia" w:ascii="宋体" w:hAnsi="宋体"/>
          <w:szCs w:val="24"/>
          <w:lang w:val="en-US" w:eastAsia="zh-CN"/>
        </w:rPr>
        <w:t>/系统用途介绍</w:t>
      </w:r>
      <w:bookmarkEnd w:id="17"/>
      <w:bookmarkEnd w:id="18"/>
      <w:bookmarkEnd w:id="19"/>
      <w:bookmarkEnd w:id="20"/>
    </w:p>
    <w:p>
      <w:pPr>
        <w:spacing w:line="360" w:lineRule="auto"/>
        <w:ind w:firstLine="480" w:firstLineChars="200"/>
        <w:rPr>
          <w:rFonts w:ascii="宋体" w:hAnsi="宋体"/>
          <w:sz w:val="24"/>
          <w:szCs w:val="24"/>
        </w:rPr>
      </w:pPr>
      <w:r>
        <w:rPr>
          <w:rFonts w:hint="eastAsia" w:ascii="宋体" w:hAnsi="宋体"/>
          <w:sz w:val="24"/>
          <w:szCs w:val="24"/>
        </w:rPr>
        <w:t>根据本公司研究院需要购置</w:t>
      </w:r>
      <w:r>
        <w:rPr>
          <w:rFonts w:hint="eastAsia" w:ascii="宋体" w:hAnsi="宋体"/>
          <w:bCs/>
          <w:sz w:val="24"/>
          <w:szCs w:val="24"/>
        </w:rPr>
        <w:t>一台</w:t>
      </w:r>
      <w:r>
        <w:rPr>
          <w:rFonts w:hint="eastAsia" w:ascii="宋体" w:hAnsi="宋体" w:cs="Arial"/>
          <w:sz w:val="24"/>
          <w:szCs w:val="24"/>
        </w:rPr>
        <w:t>实验室湿法混合制粒机</w:t>
      </w:r>
      <w:r>
        <w:rPr>
          <w:rFonts w:hint="eastAsia" w:ascii="宋体" w:hAnsi="宋体"/>
          <w:bCs/>
          <w:sz w:val="24"/>
          <w:szCs w:val="24"/>
        </w:rPr>
        <w:t>，该设备</w:t>
      </w:r>
      <w:r>
        <w:rPr>
          <w:rFonts w:hint="eastAsia" w:ascii="宋体" w:hAnsi="宋体"/>
          <w:sz w:val="24"/>
          <w:szCs w:val="24"/>
        </w:rPr>
        <w:t>必须符合现行</w:t>
      </w:r>
      <w:r>
        <w:rPr>
          <w:rFonts w:ascii="宋体" w:hAnsi="宋体"/>
          <w:sz w:val="24"/>
          <w:szCs w:val="24"/>
        </w:rPr>
        <w:t>中国GMP对制药设备的</w:t>
      </w:r>
      <w:r>
        <w:rPr>
          <w:rFonts w:hint="eastAsia" w:ascii="宋体" w:hAnsi="宋体"/>
          <w:sz w:val="24"/>
          <w:szCs w:val="24"/>
        </w:rPr>
        <w:t>相关要求，设备性能满足安全、质量、生产要求。</w:t>
      </w:r>
    </w:p>
    <w:p>
      <w:pPr>
        <w:pStyle w:val="4"/>
        <w:spacing w:before="120" w:after="120" w:line="360" w:lineRule="auto"/>
        <w:jc w:val="both"/>
        <w:rPr>
          <w:rFonts w:ascii="宋体" w:hAnsi="宋体" w:eastAsia="宋体"/>
          <w:szCs w:val="24"/>
          <w:lang w:eastAsia="zh-CN"/>
        </w:rPr>
      </w:pPr>
      <w:r>
        <w:rPr>
          <w:rFonts w:hint="eastAsia" w:ascii="宋体" w:hAnsi="宋体" w:eastAsia="宋体"/>
          <w:bCs/>
          <w:szCs w:val="24"/>
          <w:lang w:val="en-US" w:eastAsia="zh-CN"/>
        </w:rPr>
        <w:t>5</w:t>
      </w:r>
      <w:r>
        <w:rPr>
          <w:rFonts w:hint="eastAsia" w:ascii="宋体" w:hAnsi="宋体" w:eastAsia="宋体"/>
          <w:bCs/>
          <w:szCs w:val="24"/>
          <w:lang w:eastAsia="zh-CN"/>
        </w:rPr>
        <w:t xml:space="preserve"> 工艺</w:t>
      </w:r>
      <w:r>
        <w:rPr>
          <w:rFonts w:hint="eastAsia" w:ascii="宋体" w:hAnsi="宋体"/>
          <w:szCs w:val="24"/>
          <w:lang w:val="en-US" w:eastAsia="zh-CN"/>
        </w:rPr>
        <w:t>/流程描述</w:t>
      </w:r>
    </w:p>
    <w:p>
      <w:pPr>
        <w:spacing w:line="360" w:lineRule="auto"/>
        <w:ind w:firstLine="480" w:firstLineChars="200"/>
        <w:rPr>
          <w:rFonts w:ascii="宋体"/>
          <w:b/>
          <w:bCs/>
          <w:sz w:val="28"/>
          <w:shd w:val="pct10" w:color="auto" w:fill="FFFFFF"/>
        </w:rPr>
      </w:pPr>
      <w:r>
        <w:rPr>
          <w:rFonts w:hint="eastAsia" w:ascii="宋体" w:hAnsi="宋体" w:cs="Arial"/>
          <w:sz w:val="24"/>
          <w:szCs w:val="24"/>
        </w:rPr>
        <w:t>实验室湿法混合制粒机</w:t>
      </w:r>
      <w:r>
        <w:rPr>
          <w:rFonts w:hint="eastAsia" w:ascii="宋体" w:cs="宋体"/>
          <w:kern w:val="0"/>
          <w:sz w:val="24"/>
          <w:szCs w:val="24"/>
        </w:rPr>
        <w:t>的工艺流程具体如下：</w:t>
      </w:r>
    </w:p>
    <w:p>
      <w:pPr>
        <w:pStyle w:val="7"/>
        <w:ind w:firstLine="480" w:firstLineChars="200"/>
      </w:pPr>
      <w:bookmarkStart w:id="21" w:name="_Toc7075"/>
      <w:bookmarkStart w:id="22" w:name="_Toc340348730"/>
      <w:bookmarkStart w:id="23" w:name="_Toc450905289"/>
      <w:bookmarkStart w:id="24" w:name="_Toc288827320"/>
      <w:bookmarkStart w:id="25" w:name="_Toc24564"/>
      <w:bookmarkStart w:id="26" w:name="_Toc302564013"/>
      <w:r>
        <w:rPr>
          <w:rFonts w:hint="eastAsia" w:ascii="宋体" w:hAnsi="宋体"/>
          <w:sz w:val="24"/>
          <w:szCs w:val="24"/>
        </w:rPr>
        <w:t>物料经前处理（筛分称量）后加入到湿法混合制粒机的料缸内，</w:t>
      </w:r>
      <w:r>
        <w:rPr>
          <w:spacing w:val="10"/>
          <w:sz w:val="24"/>
          <w:szCs w:val="24"/>
        </w:rPr>
        <w:t>物料经搅拌作用呈流动状态充分混匀，然后经喷枪系统注入粘合剂（亦可采用其他方式），在搅拌桨和制粒刀的作用下制成均匀湿颗粒。成品湿颗粒通过出料口转入下一道工序</w:t>
      </w:r>
      <w:r>
        <w:rPr>
          <w:rFonts w:hint="eastAsia" w:ascii="宋体" w:hAnsi="宋体"/>
          <w:sz w:val="24"/>
          <w:szCs w:val="24"/>
        </w:rPr>
        <w:t>。</w:t>
      </w:r>
    </w:p>
    <w:p>
      <w:pPr>
        <w:pStyle w:val="7"/>
      </w:pPr>
    </w:p>
    <w:p>
      <w:pPr>
        <w:pStyle w:val="4"/>
        <w:spacing w:before="120" w:after="120" w:line="360" w:lineRule="auto"/>
        <w:jc w:val="both"/>
        <w:rPr>
          <w:rFonts w:ascii="宋体" w:hAnsi="宋体" w:eastAsia="宋体"/>
          <w:szCs w:val="24"/>
          <w:lang w:eastAsia="zh-CN"/>
        </w:rPr>
      </w:pPr>
      <w:r>
        <w:rPr>
          <w:rFonts w:ascii="宋体" w:hAnsi="宋体" w:eastAsia="宋体"/>
          <w:szCs w:val="24"/>
          <w:lang w:val="en-US" w:eastAsia="zh-CN"/>
        </w:rPr>
        <w:t>6</w:t>
      </w:r>
      <w:r>
        <w:rPr>
          <w:rFonts w:hint="eastAsia" w:ascii="宋体" w:hAnsi="宋体" w:eastAsia="宋体"/>
          <w:szCs w:val="24"/>
          <w:lang w:eastAsia="zh-CN"/>
        </w:rPr>
        <w:t>生产线及系统需求</w:t>
      </w:r>
      <w:bookmarkEnd w:id="21"/>
      <w:bookmarkEnd w:id="22"/>
      <w:bookmarkEnd w:id="23"/>
      <w:bookmarkEnd w:id="24"/>
      <w:bookmarkEnd w:id="25"/>
      <w:bookmarkEnd w:id="26"/>
    </w:p>
    <w:p>
      <w:pPr>
        <w:pStyle w:val="5"/>
        <w:keepNext w:val="0"/>
        <w:spacing w:before="0" w:after="0" w:line="360" w:lineRule="auto"/>
        <w:rPr>
          <w:lang w:val="en-GB"/>
        </w:rPr>
      </w:pPr>
      <w:bookmarkStart w:id="27" w:name="_Toc302564015"/>
      <w:bookmarkStart w:id="28" w:name="_Toc450905290"/>
      <w:bookmarkStart w:id="29" w:name="_Toc12539"/>
      <w:bookmarkStart w:id="30" w:name="_Toc31419"/>
      <w:r>
        <w:rPr>
          <w:rFonts w:ascii="宋体" w:hAnsi="宋体" w:eastAsia="宋体" w:cs="Arial"/>
          <w:b w:val="0"/>
          <w:bCs w:val="0"/>
          <w:sz w:val="24"/>
          <w:szCs w:val="24"/>
        </w:rPr>
        <w:t>6</w:t>
      </w:r>
      <w:r>
        <w:rPr>
          <w:rFonts w:hint="eastAsia" w:ascii="宋体" w:hAnsi="宋体" w:eastAsia="宋体" w:cs="Arial"/>
          <w:b w:val="0"/>
          <w:bCs w:val="0"/>
          <w:sz w:val="24"/>
          <w:szCs w:val="24"/>
          <w:lang w:val="en-GB"/>
        </w:rPr>
        <w:t>.1生产要求</w:t>
      </w:r>
      <w:bookmarkEnd w:id="27"/>
      <w:bookmarkEnd w:id="28"/>
      <w:bookmarkEnd w:id="29"/>
      <w:bookmarkEnd w:id="30"/>
    </w:p>
    <w:tbl>
      <w:tblPr>
        <w:tblStyle w:val="13"/>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6"/>
              <w:numPr>
                <w:ilvl w:val="0"/>
                <w:numId w:val="2"/>
              </w:numPr>
              <w:spacing w:line="360" w:lineRule="auto"/>
              <w:jc w:val="center"/>
              <w:rPr>
                <w:rFonts w:ascii="宋体" w:hAnsi="宋体" w:cs="宋体"/>
                <w:sz w:val="28"/>
                <w:szCs w:val="28"/>
              </w:rPr>
            </w:pPr>
          </w:p>
        </w:tc>
        <w:tc>
          <w:tcPr>
            <w:tcW w:w="7028" w:type="dxa"/>
            <w:vAlign w:val="center"/>
          </w:tcPr>
          <w:p>
            <w:pPr>
              <w:spacing w:line="360" w:lineRule="auto"/>
              <w:rPr>
                <w:rFonts w:ascii="宋体" w:hAnsi="宋体" w:cs="宋体"/>
                <w:bCs/>
                <w:color w:val="000000"/>
                <w:szCs w:val="24"/>
                <w:lang w:eastAsia="zh-CN"/>
              </w:rPr>
            </w:pPr>
            <w:r>
              <w:rPr>
                <w:rFonts w:hint="eastAsia" w:ascii="宋体" w:hAnsi="宋体" w:cs="Arial"/>
                <w:bCs/>
                <w:lang w:eastAsia="zh-CN"/>
              </w:rPr>
              <w:t>设备锅体可换，最大可兼容1</w:t>
            </w:r>
            <w:r>
              <w:rPr>
                <w:rFonts w:ascii="宋体" w:hAnsi="宋体" w:cs="Arial"/>
                <w:bCs/>
                <w:lang w:eastAsia="zh-CN"/>
              </w:rPr>
              <w:t>0L</w:t>
            </w:r>
            <w:r>
              <w:rPr>
                <w:rFonts w:hint="eastAsia" w:ascii="宋体" w:hAnsi="宋体" w:cs="Arial"/>
                <w:bCs/>
                <w:lang w:eastAsia="zh-CN"/>
              </w:rPr>
              <w:t>制粒锅，本次配</w:t>
            </w:r>
            <w:r>
              <w:rPr>
                <w:rFonts w:ascii="宋体" w:hAnsi="宋体" w:cs="Arial"/>
                <w:bCs/>
                <w:lang w:eastAsia="zh-CN"/>
              </w:rPr>
              <w:t>3</w:t>
            </w:r>
            <w:r>
              <w:rPr>
                <w:rFonts w:hint="eastAsia" w:ascii="宋体" w:hAnsi="宋体" w:cs="Arial"/>
                <w:bCs/>
                <w:lang w:eastAsia="zh-CN"/>
              </w:rPr>
              <w:t>L、</w:t>
            </w:r>
            <w:r>
              <w:rPr>
                <w:rFonts w:ascii="宋体" w:hAnsi="宋体" w:cs="Arial"/>
                <w:bCs/>
                <w:lang w:eastAsia="zh-CN"/>
              </w:rPr>
              <w:t>8</w:t>
            </w:r>
            <w:r>
              <w:rPr>
                <w:rFonts w:hint="eastAsia" w:ascii="宋体" w:hAnsi="宋体" w:cs="Arial"/>
                <w:bCs/>
                <w:lang w:eastAsia="zh-CN"/>
              </w:rPr>
              <w:t>L锅体各一个，一次性投料量（干物料+湿物料）</w:t>
            </w:r>
            <w:r>
              <w:rPr>
                <w:rFonts w:ascii="宋体" w:hAnsi="宋体" w:cs="Arial"/>
                <w:bCs/>
                <w:lang w:eastAsia="zh-CN"/>
              </w:rPr>
              <w:t>0.6</w:t>
            </w:r>
            <w:r>
              <w:rPr>
                <w:rFonts w:hint="eastAsia" w:ascii="宋体" w:hAnsi="宋体" w:cs="Arial"/>
                <w:bCs/>
                <w:lang w:eastAsia="zh-CN"/>
              </w:rPr>
              <w:t>～3.2kg（参考密度0.4kg/L）</w:t>
            </w:r>
            <w:r>
              <w:rPr>
                <w:rFonts w:hint="eastAsia" w:ascii="宋体" w:hAnsi="宋体" w:cs="Arial"/>
                <w:bCs/>
                <w:lang w:val="en-US" w:eastAsia="zh-CN"/>
              </w:rPr>
              <w:t>,</w:t>
            </w:r>
            <w:r>
              <w:rPr>
                <w:rFonts w:hint="eastAsia" w:ascii="宋体" w:hAnsi="宋体" w:cs="Arial"/>
                <w:bCs/>
                <w:lang w:eastAsia="zh-CN"/>
              </w:rPr>
              <w:t>3L产能1.2-2.4L,按密度0.4算系0.48-0.96kg；8L产能3.2-6.4L按密度0.4算系1.28-2.56kg。</w:t>
            </w:r>
          </w:p>
        </w:tc>
        <w:tc>
          <w:tcPr>
            <w:tcW w:w="1167" w:type="dxa"/>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6"/>
              <w:numPr>
                <w:ilvl w:val="0"/>
                <w:numId w:val="2"/>
              </w:numPr>
              <w:spacing w:line="360" w:lineRule="auto"/>
              <w:jc w:val="center"/>
              <w:rPr>
                <w:rFonts w:ascii="宋体" w:hAnsi="宋体" w:cs="宋体"/>
                <w:sz w:val="28"/>
                <w:szCs w:val="28"/>
              </w:rPr>
            </w:pPr>
          </w:p>
        </w:tc>
        <w:tc>
          <w:tcPr>
            <w:tcW w:w="7028" w:type="dxa"/>
            <w:vAlign w:val="center"/>
          </w:tcPr>
          <w:p>
            <w:pPr>
              <w:pStyle w:val="24"/>
              <w:spacing w:before="0" w:line="360" w:lineRule="auto"/>
              <w:jc w:val="left"/>
              <w:rPr>
                <w:rFonts w:ascii="宋体" w:hAnsi="宋体" w:cs="宋体"/>
                <w:bCs/>
                <w:color w:val="000000"/>
                <w:szCs w:val="24"/>
                <w:lang w:eastAsia="zh-CN"/>
              </w:rPr>
            </w:pPr>
            <w:r>
              <w:rPr>
                <w:rFonts w:hint="eastAsia" w:ascii="宋体" w:hAnsi="宋体" w:cs="Arial"/>
                <w:bCs/>
                <w:lang w:eastAsia="zh-CN"/>
              </w:rPr>
              <w:t>搅拌桨转速可无级调速，范围为90～900rpm； 制粒刀转速可无级调速，范围为1000～2800rpm。运行时间可通过触摸屏控制。</w:t>
            </w:r>
          </w:p>
        </w:tc>
        <w:tc>
          <w:tcPr>
            <w:tcW w:w="1167" w:type="dxa"/>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6"/>
              <w:numPr>
                <w:ilvl w:val="0"/>
                <w:numId w:val="2"/>
              </w:numPr>
              <w:spacing w:line="360" w:lineRule="auto"/>
              <w:jc w:val="center"/>
              <w:rPr>
                <w:rFonts w:ascii="宋体" w:hAnsi="宋体" w:cs="宋体"/>
                <w:sz w:val="28"/>
                <w:szCs w:val="28"/>
              </w:rPr>
            </w:pPr>
          </w:p>
        </w:tc>
        <w:tc>
          <w:tcPr>
            <w:tcW w:w="7028" w:type="dxa"/>
            <w:vAlign w:val="center"/>
          </w:tcPr>
          <w:p>
            <w:pPr>
              <w:pStyle w:val="24"/>
              <w:spacing w:before="0" w:line="360" w:lineRule="auto"/>
              <w:jc w:val="left"/>
              <w:rPr>
                <w:rFonts w:ascii="宋体" w:hAnsi="宋体" w:cs="宋体"/>
                <w:bCs/>
                <w:color w:val="000000"/>
                <w:szCs w:val="24"/>
                <w:highlight w:val="red"/>
                <w:lang w:eastAsia="zh-CN"/>
              </w:rPr>
            </w:pPr>
            <w:r>
              <w:rPr>
                <w:rFonts w:hint="eastAsia" w:ascii="宋体" w:hAnsi="宋体" w:cs="宋体"/>
                <w:caps/>
                <w:szCs w:val="21"/>
                <w:lang w:eastAsia="zh-CN"/>
              </w:rPr>
              <w:t>主搅拌桨为切线型结构，有利于物料混合均匀。</w:t>
            </w:r>
          </w:p>
        </w:tc>
        <w:tc>
          <w:tcPr>
            <w:tcW w:w="1167" w:type="dxa"/>
            <w:vAlign w:val="center"/>
          </w:tcPr>
          <w:p>
            <w:pPr>
              <w:pStyle w:val="24"/>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6"/>
              <w:numPr>
                <w:ilvl w:val="0"/>
                <w:numId w:val="2"/>
              </w:numPr>
              <w:spacing w:line="360" w:lineRule="auto"/>
              <w:jc w:val="center"/>
              <w:rPr>
                <w:rFonts w:ascii="宋体" w:hAnsi="宋体" w:cs="宋体"/>
                <w:sz w:val="28"/>
                <w:szCs w:val="28"/>
              </w:rPr>
            </w:pPr>
          </w:p>
        </w:tc>
        <w:tc>
          <w:tcPr>
            <w:tcW w:w="7028" w:type="dxa"/>
            <w:vAlign w:val="center"/>
          </w:tcPr>
          <w:p>
            <w:pPr>
              <w:pStyle w:val="24"/>
              <w:spacing w:before="0" w:line="360" w:lineRule="auto"/>
              <w:jc w:val="left"/>
              <w:rPr>
                <w:rFonts w:ascii="宋体" w:hAnsi="宋体" w:cs="宋体"/>
                <w:bCs/>
                <w:color w:val="000000"/>
                <w:szCs w:val="24"/>
                <w:highlight w:val="red"/>
                <w:lang w:eastAsia="zh-CN"/>
              </w:rPr>
            </w:pPr>
            <w:r>
              <w:rPr>
                <w:rFonts w:hint="eastAsia" w:ascii="宋体" w:hAnsi="宋体" w:cs="Arial"/>
                <w:caps/>
                <w:lang w:eastAsia="zh-CN"/>
              </w:rPr>
              <w:t>制粒刀成交叉状，配有防轴跳动装置，保证制粒刀稳定运转。</w:t>
            </w:r>
          </w:p>
        </w:tc>
        <w:tc>
          <w:tcPr>
            <w:tcW w:w="1167" w:type="dxa"/>
            <w:vAlign w:val="center"/>
          </w:tcPr>
          <w:p>
            <w:pPr>
              <w:pStyle w:val="24"/>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6"/>
              <w:numPr>
                <w:ilvl w:val="0"/>
                <w:numId w:val="2"/>
              </w:numPr>
              <w:spacing w:line="360" w:lineRule="auto"/>
              <w:jc w:val="center"/>
              <w:rPr>
                <w:rFonts w:ascii="宋体" w:hAnsi="宋体" w:cs="宋体"/>
                <w:sz w:val="28"/>
                <w:szCs w:val="28"/>
              </w:rPr>
            </w:pPr>
          </w:p>
        </w:tc>
        <w:tc>
          <w:tcPr>
            <w:tcW w:w="7028" w:type="dxa"/>
            <w:vAlign w:val="center"/>
          </w:tcPr>
          <w:p>
            <w:pPr>
              <w:pStyle w:val="24"/>
              <w:spacing w:before="0" w:line="360" w:lineRule="auto"/>
              <w:jc w:val="left"/>
              <w:rPr>
                <w:rFonts w:ascii="宋体" w:hAnsi="宋体" w:cs="宋体"/>
                <w:bCs/>
                <w:color w:val="000000"/>
                <w:szCs w:val="24"/>
                <w:lang w:eastAsia="zh-CN"/>
              </w:rPr>
            </w:pPr>
            <w:r>
              <w:rPr>
                <w:rFonts w:hint="eastAsia" w:ascii="宋体" w:hAnsi="宋体" w:cs="Arial"/>
                <w:caps/>
                <w:lang w:eastAsia="zh-CN"/>
              </w:rPr>
              <w:t>出料门为人工打开，出料门安装在锅的侧面靠近底部，出料门内壁与料缸内腔吻合。</w:t>
            </w:r>
          </w:p>
        </w:tc>
        <w:tc>
          <w:tcPr>
            <w:tcW w:w="1167" w:type="dxa"/>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6"/>
              <w:numPr>
                <w:ilvl w:val="0"/>
                <w:numId w:val="2"/>
              </w:numPr>
              <w:spacing w:line="360" w:lineRule="auto"/>
              <w:jc w:val="center"/>
              <w:rPr>
                <w:rFonts w:ascii="宋体" w:hAnsi="宋体" w:cs="宋体"/>
                <w:sz w:val="28"/>
                <w:szCs w:val="28"/>
              </w:rPr>
            </w:pPr>
          </w:p>
        </w:tc>
        <w:tc>
          <w:tcPr>
            <w:tcW w:w="7028" w:type="dxa"/>
            <w:vAlign w:val="center"/>
          </w:tcPr>
          <w:p>
            <w:pPr>
              <w:pStyle w:val="24"/>
              <w:spacing w:before="0" w:line="360" w:lineRule="auto"/>
              <w:jc w:val="left"/>
              <w:rPr>
                <w:rFonts w:ascii="宋体" w:hAnsi="宋体" w:cs="Arial"/>
                <w:caps/>
                <w:highlight w:val="red"/>
                <w:lang w:eastAsia="zh-CN"/>
              </w:rPr>
            </w:pPr>
            <w:r>
              <w:rPr>
                <w:rFonts w:hint="eastAsia"/>
                <w:lang w:eastAsia="zh-CN"/>
              </w:rPr>
              <w:t>颗粒成型良好，物料轻捏可破，无结块现象。</w:t>
            </w:r>
          </w:p>
        </w:tc>
        <w:tc>
          <w:tcPr>
            <w:tcW w:w="1167" w:type="dxa"/>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6"/>
              <w:numPr>
                <w:ilvl w:val="0"/>
                <w:numId w:val="2"/>
              </w:numPr>
              <w:spacing w:line="360" w:lineRule="auto"/>
              <w:jc w:val="center"/>
              <w:rPr>
                <w:rFonts w:ascii="宋体" w:hAnsi="宋体" w:cs="宋体"/>
                <w:sz w:val="28"/>
                <w:szCs w:val="28"/>
              </w:rPr>
            </w:pPr>
          </w:p>
        </w:tc>
        <w:tc>
          <w:tcPr>
            <w:tcW w:w="7028" w:type="dxa"/>
            <w:vAlign w:val="center"/>
          </w:tcPr>
          <w:p>
            <w:pPr>
              <w:pStyle w:val="24"/>
              <w:spacing w:before="0" w:line="360" w:lineRule="auto"/>
              <w:jc w:val="left"/>
              <w:rPr>
                <w:highlight w:val="red"/>
                <w:lang w:eastAsia="zh-CN"/>
              </w:rPr>
            </w:pPr>
            <w:r>
              <w:rPr>
                <w:rFonts w:hint="eastAsia" w:ascii="宋体" w:hAnsi="宋体" w:cs="Arial"/>
                <w:caps/>
                <w:lang w:eastAsia="zh-CN"/>
              </w:rPr>
              <w:t>加入粘合剂的方式可采用蠕动泵加入，带有雾化喷枪；</w:t>
            </w:r>
          </w:p>
        </w:tc>
        <w:tc>
          <w:tcPr>
            <w:tcW w:w="1167" w:type="dxa"/>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bl>
    <w:p>
      <w:pPr>
        <w:pStyle w:val="5"/>
        <w:keepNext w:val="0"/>
        <w:spacing w:before="0" w:after="0" w:line="360" w:lineRule="auto"/>
        <w:rPr>
          <w:rFonts w:ascii="宋体" w:hAnsi="宋体" w:eastAsia="宋体" w:cs="Arial"/>
          <w:b w:val="0"/>
          <w:bCs w:val="0"/>
          <w:sz w:val="24"/>
          <w:szCs w:val="24"/>
        </w:rPr>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2</w:t>
      </w:r>
      <w:r>
        <w:rPr>
          <w:rFonts w:hint="eastAsia" w:ascii="宋体" w:hAnsi="宋体" w:eastAsia="宋体" w:cs="Arial"/>
          <w:b w:val="0"/>
          <w:bCs w:val="0"/>
          <w:sz w:val="24"/>
          <w:szCs w:val="24"/>
          <w:lang w:val="en-GB"/>
        </w:rPr>
        <w:t>设备要求</w:t>
      </w:r>
    </w:p>
    <w:tbl>
      <w:tblPr>
        <w:tblStyle w:val="13"/>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spacing w:line="360" w:lineRule="auto"/>
              <w:rPr>
                <w:b/>
              </w:rPr>
            </w:pPr>
            <w:r>
              <w:rPr>
                <w:rFonts w:hint="eastAsia"/>
                <w:b/>
              </w:rPr>
              <w:t>序号</w:t>
            </w:r>
          </w:p>
        </w:tc>
        <w:tc>
          <w:tcPr>
            <w:tcW w:w="7028" w:type="dxa"/>
            <w:shd w:val="pct20" w:color="auto" w:fill="FFFFFF"/>
            <w:vAlign w:val="center"/>
          </w:tcPr>
          <w:p>
            <w:pPr>
              <w:spacing w:line="360" w:lineRule="auto"/>
              <w:jc w:val="center"/>
              <w:rPr>
                <w:b/>
              </w:rPr>
            </w:pPr>
            <w:r>
              <w:rPr>
                <w:rFonts w:hint="eastAsia"/>
                <w:b/>
              </w:rPr>
              <w:t>要求内容</w:t>
            </w:r>
          </w:p>
        </w:tc>
        <w:tc>
          <w:tcPr>
            <w:tcW w:w="1167" w:type="dxa"/>
            <w:shd w:val="pct20" w:color="auto" w:fill="FFFFFF"/>
            <w:vAlign w:val="center"/>
          </w:tcPr>
          <w:p>
            <w:pPr>
              <w:spacing w:line="360" w:lineRule="auto"/>
              <w:jc w:val="center"/>
              <w:rPr>
                <w:rFonts w:ascii="宋体"/>
                <w:b/>
              </w:rPr>
            </w:pPr>
            <w:r>
              <w:rPr>
                <w:rFonts w:hint="eastAsia"/>
                <w:b/>
              </w:rPr>
              <w:t>必需/期望</w:t>
            </w:r>
          </w:p>
        </w:tc>
        <w:tc>
          <w:tcPr>
            <w:tcW w:w="94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6"/>
              <w:numPr>
                <w:ilvl w:val="0"/>
                <w:numId w:val="2"/>
              </w:numPr>
              <w:spacing w:line="360" w:lineRule="auto"/>
              <w:jc w:val="center"/>
            </w:pPr>
          </w:p>
        </w:tc>
        <w:tc>
          <w:tcPr>
            <w:tcW w:w="7028" w:type="dxa"/>
            <w:vAlign w:val="center"/>
          </w:tcPr>
          <w:p>
            <w:pPr>
              <w:pStyle w:val="24"/>
              <w:spacing w:before="0" w:line="360" w:lineRule="auto"/>
              <w:jc w:val="left"/>
              <w:rPr>
                <w:rFonts w:ascii="宋体" w:hAnsi="宋体" w:cs="宋体"/>
                <w:bCs/>
                <w:color w:val="000000"/>
                <w:szCs w:val="24"/>
                <w:lang w:eastAsia="zh-CN"/>
              </w:rPr>
            </w:pPr>
            <w:r>
              <w:rPr>
                <w:rFonts w:hint="eastAsia" w:ascii="宋体" w:hAnsi="宋体" w:cs="Arial"/>
                <w:bCs/>
                <w:lang w:eastAsia="zh-CN"/>
              </w:rPr>
              <w:t>设备有进料口、喷液连接口、出料口、排气口、警示灯；制粒缸盖、进料口、出料口应密闭良好，不得有漏粉、渗液。整机为移动式防爆设计，机架底部配进口品牌脚轮。</w:t>
            </w:r>
          </w:p>
        </w:tc>
        <w:tc>
          <w:tcPr>
            <w:tcW w:w="1167" w:type="dxa"/>
            <w:vAlign w:val="center"/>
          </w:tcPr>
          <w:p>
            <w:pPr>
              <w:pStyle w:val="24"/>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Arial"/>
                <w:caps/>
                <w:lang w:eastAsia="zh-CN"/>
              </w:rPr>
              <w:t>料缸与机架连接采用快卡形式，方便拆卸，便于换缸</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szCs w:val="24"/>
                <w:lang w:eastAsia="zh-CN"/>
              </w:rPr>
            </w:pPr>
            <w:r>
              <w:rPr>
                <w:rFonts w:hint="eastAsia" w:ascii="宋体" w:hAnsi="宋体" w:cs="宋体"/>
                <w:bCs/>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32"/>
              <w:tabs>
                <w:tab w:val="left" w:pos="332"/>
              </w:tabs>
              <w:spacing w:before="3"/>
              <w:ind w:right="86"/>
              <w:jc w:val="left"/>
              <w:rPr>
                <w:rFonts w:cs="Arial"/>
                <w:caps/>
              </w:rPr>
            </w:pPr>
            <w:r>
              <w:rPr>
                <w:spacing w:val="-7"/>
                <w:sz w:val="24"/>
              </w:rPr>
              <w:t>蠕动泵驱动电机：由变频器控制，可实现无级调速，变频器安装</w:t>
            </w:r>
            <w:r>
              <w:rPr>
                <w:sz w:val="24"/>
              </w:rPr>
              <w:t>在控制柜内，蠕动泵的实际速度显示在控制屏上。</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szCs w:val="24"/>
              </w:rPr>
            </w:pPr>
            <w:r>
              <w:rPr>
                <w:rFonts w:hint="eastAsia" w:ascii="宋体" w:hAnsi="宋体" w:cs="宋体"/>
                <w:bCs/>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Arial"/>
                <w:caps/>
                <w:lang w:eastAsia="zh-CN"/>
              </w:rPr>
              <w:t>缸盖上面配置有粘合剂加入接口,</w:t>
            </w:r>
            <w:r>
              <w:rPr>
                <w:lang w:eastAsia="zh-CN"/>
              </w:rPr>
              <w:t>由手动蝶阀控制开关，用于添加物料。</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Arial"/>
                <w:bCs/>
                <w:caps/>
                <w:lang w:eastAsia="zh-CN"/>
              </w:rPr>
            </w:pPr>
            <w:r>
              <w:rPr>
                <w:rFonts w:hint="eastAsia" w:ascii="宋体" w:hAnsi="宋体" w:cs="Arial"/>
                <w:bCs/>
                <w:caps/>
                <w:lang w:eastAsia="zh-CN"/>
              </w:rPr>
              <w:t>缸盖上安装呼吸器，可将锅内气封的空气排出，呼吸器滤芯孔径大小合适,应能防止粉尘飞扬，选用防静电、疏水型过滤袋（水雾不会侵湿滤袋）</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Arial"/>
                <w:bCs/>
                <w:caps/>
                <w:lang w:eastAsia="zh-CN"/>
              </w:rPr>
            </w:pPr>
            <w:r>
              <w:rPr>
                <w:rFonts w:hint="eastAsia" w:ascii="宋体" w:hAnsi="宋体" w:cs="Arial"/>
                <w:bCs/>
                <w:caps/>
                <w:lang w:eastAsia="zh-CN"/>
              </w:rPr>
              <w:t>缸盖装有光电开关或安全磁开关，其结构紧凑，安全稳定，抗腐蚀、抗震性好，精度高，强度高，寿命长。当缸盖打开、未关好的情况下，自动报警，设备不能运行。</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caps/>
                <w:szCs w:val="21"/>
                <w:lang w:eastAsia="zh-CN"/>
              </w:rPr>
              <w:t>主搅拌桨密封采用机械密封和气封方式</w:t>
            </w:r>
            <w:r>
              <w:rPr>
                <w:rFonts w:hint="eastAsia" w:ascii="宋体" w:hAnsi="宋体" w:cs="宋体"/>
                <w:szCs w:val="21"/>
                <w:lang w:eastAsia="zh-CN"/>
              </w:rPr>
              <w:t>。</w:t>
            </w:r>
            <w:r>
              <w:rPr>
                <w:rFonts w:hint="eastAsia" w:ascii="宋体" w:hAnsi="宋体" w:cs="宋体"/>
                <w:caps/>
                <w:szCs w:val="21"/>
                <w:lang w:eastAsia="zh-CN"/>
              </w:rPr>
              <w:t>气封与主搅拌桨的动作进行联锁，即气压</w:t>
            </w:r>
            <w:r>
              <w:rPr>
                <w:rFonts w:hint="eastAsia" w:ascii="宋体" w:hAnsi="宋体" w:cs="宋体"/>
                <w:szCs w:val="21"/>
                <w:lang w:eastAsia="zh-CN"/>
              </w:rPr>
              <w:t>低于设定压力</w:t>
            </w:r>
            <w:r>
              <w:rPr>
                <w:rFonts w:hint="eastAsia" w:ascii="宋体" w:hAnsi="宋体" w:cs="宋体"/>
                <w:caps/>
                <w:szCs w:val="21"/>
                <w:lang w:eastAsia="zh-CN"/>
              </w:rPr>
              <w:t>时，主搅拌桨不能转动。</w:t>
            </w:r>
            <w:r>
              <w:rPr>
                <w:lang w:eastAsia="zh-CN"/>
              </w:rPr>
              <w:t>保证物料不与传动系统接触，避免污染</w:t>
            </w:r>
            <w:r>
              <w:rPr>
                <w:rFonts w:hint="eastAsia"/>
                <w:lang w:eastAsia="zh-CN"/>
              </w:rPr>
              <w:t>。</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caps/>
                <w:szCs w:val="21"/>
                <w:lang w:eastAsia="zh-CN"/>
              </w:rPr>
              <w:t>主搅拌桨桨叶距离锅底间距在0.5～1.5</w:t>
            </w:r>
            <w:r>
              <w:rPr>
                <w:rFonts w:hint="eastAsia" w:ascii="宋体" w:hAnsi="宋体" w:cs="宋体"/>
                <w:szCs w:val="21"/>
                <w:lang w:eastAsia="zh-CN"/>
              </w:rPr>
              <w:t>mm，</w:t>
            </w:r>
            <w:r>
              <w:rPr>
                <w:rFonts w:hint="eastAsia" w:ascii="宋体" w:hAnsi="宋体" w:cs="Arial"/>
                <w:caps/>
                <w:lang w:eastAsia="zh-CN"/>
              </w:rPr>
              <w:t>转速采用变频调速，</w:t>
            </w:r>
            <w:r>
              <w:rPr>
                <w:rFonts w:hint="eastAsia" w:ascii="宋体" w:hAnsi="宋体" w:cs="宋体"/>
                <w:caps/>
                <w:szCs w:val="21"/>
                <w:lang w:eastAsia="zh-CN"/>
              </w:rPr>
              <w:t>方便可拆卸，便于维护。</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Arial"/>
                <w:caps/>
                <w:lang w:eastAsia="zh-CN"/>
              </w:rPr>
              <w:t>制粒刀成交叉状，配有防轴跳动装置，保证制粒刀稳定运转。</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Arial"/>
                <w:caps/>
                <w:lang w:eastAsia="zh-CN"/>
              </w:rPr>
              <w:t>制粒刀轴密封采用机械密封和气封方式。气封与切刀动作进行联锁，即气压</w:t>
            </w:r>
            <w:r>
              <w:rPr>
                <w:rFonts w:hint="eastAsia"/>
                <w:lang w:eastAsia="zh-CN"/>
              </w:rPr>
              <w:t>低于设定压力</w:t>
            </w:r>
            <w:r>
              <w:rPr>
                <w:rFonts w:hint="eastAsia" w:ascii="宋体" w:hAnsi="宋体" w:cs="Arial"/>
                <w:caps/>
                <w:lang w:eastAsia="zh-CN"/>
              </w:rPr>
              <w:t>时，切刀不能转动。</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Arial"/>
                <w:caps/>
                <w:lang w:eastAsia="zh-CN"/>
              </w:rPr>
              <w:t>制粒刀转速采用变频调速控制。</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Arial"/>
                <w:caps/>
                <w:lang w:eastAsia="zh-CN"/>
              </w:rPr>
              <w:t>用于密封的部件应该易于更换和重新安装。</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lang w:eastAsia="zh-CN"/>
              </w:rPr>
              <w:t>控制柜、操控箱、操控按钮具有良好密封</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lang w:eastAsia="zh-CN"/>
              </w:rPr>
              <w:t>所有的线路应密闭安装，至少有防止粉尘和水污染的装置。</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lang w:eastAsia="zh-CN"/>
              </w:rPr>
              <w:t>系统具有审计追踪功能：具有符合FDA 21 CFR Part 11法规的电子签名和电子记录功能，能生成完整的审计日志，并能导出不可更改的PDF审计文档，能准确追溯配方参数、工艺参数、控制参数等所有参数的数据变化以及所有重要的工艺操作如批次生产相关、操作模式变化、关键功能开关变化等</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rPr>
            </w:pPr>
            <w:r>
              <w:rPr>
                <w:rFonts w:hint="eastAsia" w:ascii="宋体" w:hAnsi="宋体"/>
                <w:caps/>
                <w:kern w:val="0"/>
                <w:szCs w:val="24"/>
              </w:rPr>
              <w:t>更换模具简单快捷。</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bl>
    <w:p>
      <w:pPr>
        <w:pStyle w:val="5"/>
        <w:keepNext w:val="0"/>
        <w:spacing w:before="0" w:after="0" w:line="360" w:lineRule="auto"/>
        <w:rPr>
          <w:rFonts w:ascii="宋体" w:hAnsi="宋体" w:eastAsia="宋体" w:cs="Arial"/>
          <w:b w:val="0"/>
          <w:bCs w:val="0"/>
          <w:sz w:val="24"/>
          <w:szCs w:val="24"/>
        </w:rPr>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3</w:t>
      </w:r>
      <w:r>
        <w:rPr>
          <w:rFonts w:hint="eastAsia" w:ascii="宋体" w:hAnsi="宋体" w:eastAsia="宋体" w:cs="Arial"/>
          <w:b w:val="0"/>
          <w:bCs w:val="0"/>
          <w:sz w:val="24"/>
          <w:szCs w:val="24"/>
          <w:lang w:val="en-GB"/>
        </w:rPr>
        <w:t>仪表、电气及</w:t>
      </w:r>
      <w:r>
        <w:rPr>
          <w:rFonts w:hint="eastAsia" w:ascii="宋体" w:hAnsi="宋体" w:eastAsia="宋体" w:cs="Arial"/>
          <w:b w:val="0"/>
          <w:bCs w:val="0"/>
          <w:sz w:val="24"/>
          <w:szCs w:val="24"/>
        </w:rPr>
        <w:t>控制系统要求</w:t>
      </w:r>
    </w:p>
    <w:tbl>
      <w:tblPr>
        <w:tblStyle w:val="13"/>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spacing w:line="360" w:lineRule="auto"/>
              <w:jc w:val="center"/>
              <w:rPr>
                <w:b/>
              </w:rPr>
            </w:pPr>
            <w:r>
              <w:rPr>
                <w:rFonts w:hint="eastAsia"/>
                <w:b/>
              </w:rPr>
              <w:t>序号</w:t>
            </w:r>
          </w:p>
        </w:tc>
        <w:tc>
          <w:tcPr>
            <w:tcW w:w="7028" w:type="dxa"/>
            <w:shd w:val="pct20" w:color="auto" w:fill="FFFFFF"/>
            <w:vAlign w:val="center"/>
          </w:tcPr>
          <w:p>
            <w:pPr>
              <w:spacing w:line="360" w:lineRule="auto"/>
              <w:jc w:val="center"/>
              <w:rPr>
                <w:b/>
              </w:rPr>
            </w:pPr>
            <w:r>
              <w:rPr>
                <w:rFonts w:hint="eastAsia"/>
                <w:b/>
              </w:rPr>
              <w:t>要求内容</w:t>
            </w:r>
          </w:p>
        </w:tc>
        <w:tc>
          <w:tcPr>
            <w:tcW w:w="1167" w:type="dxa"/>
            <w:shd w:val="pct20" w:color="auto" w:fill="FFFFFF"/>
            <w:vAlign w:val="center"/>
          </w:tcPr>
          <w:p>
            <w:pPr>
              <w:spacing w:line="360" w:lineRule="auto"/>
              <w:jc w:val="center"/>
              <w:rPr>
                <w:rFonts w:ascii="宋体"/>
                <w:b/>
              </w:rPr>
            </w:pPr>
            <w:r>
              <w:rPr>
                <w:rFonts w:hint="eastAsia"/>
                <w:b/>
              </w:rPr>
              <w:t>必需/期望</w:t>
            </w:r>
          </w:p>
        </w:tc>
        <w:tc>
          <w:tcPr>
            <w:tcW w:w="94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rPr>
            </w:pPr>
            <w:r>
              <w:rPr>
                <w:rFonts w:hint="eastAsia" w:ascii="宋体" w:hAnsi="宋体" w:cs="宋体"/>
                <w:bCs/>
                <w:color w:val="000000"/>
                <w:szCs w:val="24"/>
                <w:lang w:eastAsia="zh-CN"/>
              </w:rPr>
              <w:t>采用触摸屏人机操作界面，中文显示，易于识别操作。工艺参数可以设定、显示。触摸屏具有自动显示故障，并自动停机、报警及提供帮助菜单功能。具备点动、启动及停止操作按钮。自动累计运行时间；自动累计生产产量。</w:t>
            </w:r>
            <w:r>
              <w:rPr>
                <w:rFonts w:hint="eastAsia" w:ascii="宋体" w:hAnsi="宋体" w:cs="宋体"/>
                <w:bCs/>
                <w:color w:val="000000"/>
                <w:szCs w:val="24"/>
              </w:rPr>
              <w:t>可存储20组工艺配方。</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关键部件如电机、电器元件采用国际知名品牌产品。关键部件包括：PLC、彩色触摸屏、主电机等电气元件等。必须附主要控制元件配置明细表。</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lang w:eastAsia="zh-CN"/>
              </w:rPr>
              <w:t>供应商应标明用电总功率、压缩空气用量、及其它重要参数要求</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各种线路要简洁，紧密，设计良好且有清晰的标识，且线路的排布不得影响生产时的清洁。</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lang w:eastAsia="zh-CN"/>
              </w:rPr>
              <w:t>预留输出通讯接口，方便连接远程监控系统。通讯接口标准有以太网通讯及其协议为OPC UA、西门子S7、TCP/IP协议、RS485通讯及协议为PPI协议</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断电后保障PLC数据不丢失，保证程序完整。可配置系统的设计应能够防止断电情况下数据和/或配置参数的丢失。</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故障自动检测和停机报警功能，当有故障发生时，弹出故障窗口可及时准确显示故障原因及发生时间。</w:t>
            </w:r>
          </w:p>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硬件报警：主机电机过流过载保护；门窗开启保护。</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控制系统应设有关键部件安装不到位机器无法启动、电机过载或故障停机等必要的联锁或互锁，保证在设备部件未装好、功能失调或失灵时，有必要的保护措施保证人员、设备和产品处于安全状态。</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设备上的测量用仪器仪表及设备联接件使用公制单位。</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pStyle w:val="7"/>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仪器仪表应提供合格证。</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pStyle w:val="7"/>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ascii="宋体" w:hAnsi="宋体"/>
                <w:lang w:eastAsia="zh-CN"/>
              </w:rPr>
              <w:t>通讯/信号线路</w:t>
            </w:r>
            <w:r>
              <w:rPr>
                <w:rFonts w:hint="eastAsia" w:ascii="宋体" w:hAnsi="宋体"/>
                <w:lang w:eastAsia="zh-CN"/>
              </w:rPr>
              <w:t>等</w:t>
            </w:r>
            <w:r>
              <w:rPr>
                <w:rFonts w:ascii="宋体" w:hAnsi="宋体"/>
                <w:lang w:eastAsia="zh-CN"/>
              </w:rPr>
              <w:t>与较高的电压</w:t>
            </w:r>
            <w:r>
              <w:rPr>
                <w:rFonts w:hint="eastAsia" w:ascii="宋体" w:hAnsi="宋体"/>
                <w:lang w:eastAsia="zh-CN"/>
              </w:rPr>
              <w:t>有</w:t>
            </w:r>
            <w:r>
              <w:rPr>
                <w:rFonts w:ascii="宋体" w:hAnsi="宋体"/>
                <w:lang w:eastAsia="zh-CN"/>
              </w:rPr>
              <w:t>隔离</w:t>
            </w:r>
            <w:r>
              <w:rPr>
                <w:rFonts w:hint="eastAsia" w:ascii="宋体" w:hAnsi="宋体"/>
                <w:lang w:eastAsia="zh-CN"/>
              </w:rPr>
              <w:t>措施防止干扰</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pStyle w:val="7"/>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lang w:eastAsia="zh-CN"/>
              </w:rPr>
            </w:pPr>
            <w:r>
              <w:rPr>
                <w:rFonts w:hint="eastAsia"/>
                <w:lang w:eastAsia="zh-CN"/>
              </w:rPr>
              <w:t>系统具有两种工作模式：手动模式、自动模式</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pStyle w:val="7"/>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lang w:eastAsia="zh-CN"/>
              </w:rPr>
            </w:pPr>
            <w:r>
              <w:rPr>
                <w:rFonts w:hint="eastAsia" w:ascii="宋体" w:hAnsi="宋体"/>
                <w:lang w:eastAsia="zh-CN"/>
              </w:rPr>
              <w:t>用户权限至少具有3级权限组</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pStyle w:val="7"/>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lang w:eastAsia="zh-CN"/>
              </w:rPr>
            </w:pPr>
            <w:r>
              <w:rPr>
                <w:rFonts w:hint="eastAsia" w:ascii="宋体" w:hAnsi="宋体"/>
                <w:lang w:eastAsia="zh-CN"/>
              </w:rPr>
              <w:t>操控箱具有USB接口，方便数据导出打印</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pStyle w:val="7"/>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lang w:eastAsia="zh-CN"/>
              </w:rPr>
            </w:pPr>
            <w:r>
              <w:rPr>
                <w:rFonts w:hint="eastAsia" w:ascii="宋体" w:hAnsi="宋体"/>
                <w:lang w:eastAsia="zh-CN"/>
              </w:rPr>
              <w:t>完整的批记录功能，应显示以下重要参数，但不局限于这些：</w:t>
            </w:r>
          </w:p>
          <w:p>
            <w:pPr>
              <w:pStyle w:val="24"/>
              <w:spacing w:before="0" w:line="360" w:lineRule="auto"/>
              <w:jc w:val="left"/>
              <w:rPr>
                <w:rFonts w:ascii="宋体" w:hAnsi="宋体"/>
                <w:lang w:eastAsia="zh-CN"/>
              </w:rPr>
            </w:pPr>
            <w:r>
              <w:rPr>
                <w:rFonts w:hint="eastAsia" w:ascii="宋体" w:hAnsi="宋体"/>
                <w:lang w:eastAsia="zh-CN"/>
              </w:rPr>
              <w:t>产品名称或代号；</w:t>
            </w:r>
          </w:p>
          <w:p>
            <w:pPr>
              <w:pStyle w:val="24"/>
              <w:spacing w:before="0" w:line="360" w:lineRule="auto"/>
              <w:jc w:val="left"/>
              <w:rPr>
                <w:rFonts w:ascii="宋体" w:hAnsi="宋体"/>
                <w:lang w:eastAsia="zh-CN"/>
              </w:rPr>
            </w:pPr>
            <w:r>
              <w:rPr>
                <w:rFonts w:hint="eastAsia" w:ascii="宋体" w:hAnsi="宋体"/>
                <w:lang w:eastAsia="zh-CN"/>
              </w:rPr>
              <w:t>操作员代号；</w:t>
            </w:r>
          </w:p>
          <w:p>
            <w:pPr>
              <w:pStyle w:val="24"/>
              <w:spacing w:before="0" w:line="360" w:lineRule="auto"/>
              <w:jc w:val="left"/>
              <w:rPr>
                <w:rFonts w:ascii="宋体" w:hAnsi="宋体"/>
                <w:lang w:eastAsia="zh-CN"/>
              </w:rPr>
            </w:pPr>
            <w:r>
              <w:rPr>
                <w:rFonts w:hint="eastAsia" w:ascii="宋体" w:hAnsi="宋体"/>
                <w:lang w:eastAsia="zh-CN"/>
              </w:rPr>
              <w:t>工艺参数；</w:t>
            </w:r>
          </w:p>
          <w:p>
            <w:pPr>
              <w:pStyle w:val="24"/>
              <w:spacing w:before="0" w:line="360" w:lineRule="auto"/>
              <w:jc w:val="left"/>
              <w:rPr>
                <w:rFonts w:ascii="宋体" w:hAnsi="宋体"/>
                <w:lang w:eastAsia="zh-CN"/>
              </w:rPr>
            </w:pPr>
            <w:r>
              <w:rPr>
                <w:rFonts w:hint="eastAsia" w:ascii="宋体" w:hAnsi="宋体"/>
                <w:lang w:eastAsia="zh-CN"/>
              </w:rPr>
              <w:t>生产时间；</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pStyle w:val="7"/>
              <w:spacing w:line="360" w:lineRule="auto"/>
            </w:pPr>
          </w:p>
        </w:tc>
      </w:tr>
    </w:tbl>
    <w:p>
      <w:pPr>
        <w:pStyle w:val="7"/>
        <w:rPr>
          <w:rFonts w:ascii="宋体" w:hAnsi="宋体" w:cs="Arial"/>
          <w:sz w:val="24"/>
          <w:szCs w:val="24"/>
        </w:rPr>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4</w:t>
      </w:r>
      <w:r>
        <w:rPr>
          <w:rFonts w:hint="eastAsia" w:ascii="宋体" w:hAnsi="宋体" w:eastAsia="宋体" w:cs="Arial"/>
          <w:b w:val="0"/>
          <w:bCs w:val="0"/>
          <w:sz w:val="24"/>
          <w:szCs w:val="24"/>
          <w:lang w:val="en-GB"/>
        </w:rPr>
        <w:t>安全要求</w:t>
      </w:r>
    </w:p>
    <w:tbl>
      <w:tblPr>
        <w:tblStyle w:val="13"/>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spacing w:line="360" w:lineRule="auto"/>
              <w:jc w:val="center"/>
              <w:rPr>
                <w:b/>
              </w:rPr>
            </w:pPr>
            <w:r>
              <w:rPr>
                <w:rFonts w:hint="eastAsia"/>
                <w:b/>
              </w:rPr>
              <w:t>序号</w:t>
            </w:r>
          </w:p>
        </w:tc>
        <w:tc>
          <w:tcPr>
            <w:tcW w:w="7028" w:type="dxa"/>
            <w:shd w:val="pct20" w:color="auto" w:fill="FFFFFF"/>
            <w:vAlign w:val="center"/>
          </w:tcPr>
          <w:p>
            <w:pPr>
              <w:spacing w:line="360" w:lineRule="auto"/>
              <w:jc w:val="center"/>
              <w:rPr>
                <w:b/>
              </w:rPr>
            </w:pPr>
            <w:r>
              <w:rPr>
                <w:rFonts w:hint="eastAsia"/>
                <w:b/>
              </w:rPr>
              <w:t>要求内容</w:t>
            </w:r>
          </w:p>
        </w:tc>
        <w:tc>
          <w:tcPr>
            <w:tcW w:w="1167" w:type="dxa"/>
            <w:shd w:val="pct20" w:color="auto" w:fill="FFFFFF"/>
            <w:vAlign w:val="center"/>
          </w:tcPr>
          <w:p>
            <w:pPr>
              <w:spacing w:line="360" w:lineRule="auto"/>
              <w:jc w:val="center"/>
              <w:rPr>
                <w:rFonts w:ascii="宋体"/>
                <w:b/>
              </w:rPr>
            </w:pPr>
            <w:r>
              <w:rPr>
                <w:rFonts w:hint="eastAsia"/>
                <w:b/>
              </w:rPr>
              <w:t>必需/期望</w:t>
            </w:r>
          </w:p>
        </w:tc>
        <w:tc>
          <w:tcPr>
            <w:tcW w:w="94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6"/>
              <w:numPr>
                <w:ilvl w:val="0"/>
                <w:numId w:val="2"/>
              </w:numPr>
              <w:spacing w:line="360" w:lineRule="auto"/>
              <w:jc w:val="center"/>
              <w:rPr>
                <w:rFonts w:ascii="宋体" w:hAnsi="宋体" w:cs="宋体"/>
                <w:lang w:bidi="th-TH"/>
              </w:rPr>
            </w:pPr>
          </w:p>
        </w:tc>
        <w:tc>
          <w:tcPr>
            <w:tcW w:w="7028" w:type="dxa"/>
            <w:vAlign w:val="center"/>
          </w:tcPr>
          <w:p>
            <w:pPr>
              <w:pStyle w:val="24"/>
              <w:spacing w:before="0" w:line="360" w:lineRule="auto"/>
              <w:jc w:val="left"/>
              <w:rPr>
                <w:rFonts w:ascii="宋体" w:hAnsi="宋体" w:cs="宋体"/>
                <w:bCs/>
                <w:color w:val="000000"/>
                <w:szCs w:val="24"/>
                <w:lang w:eastAsia="zh-CN"/>
              </w:rPr>
            </w:pPr>
            <w:r>
              <w:rPr>
                <w:rFonts w:cs="Arial"/>
                <w:lang w:eastAsia="zh-CN"/>
              </w:rPr>
              <w:t>自动显示故障</w:t>
            </w:r>
            <w:r>
              <w:rPr>
                <w:rFonts w:hint="eastAsia" w:cs="Arial"/>
                <w:lang w:eastAsia="zh-CN"/>
              </w:rPr>
              <w:t>原因</w:t>
            </w:r>
            <w:r>
              <w:rPr>
                <w:rFonts w:cs="Arial"/>
                <w:lang w:eastAsia="zh-CN"/>
              </w:rPr>
              <w:t>并自动停机、</w:t>
            </w:r>
            <w:r>
              <w:rPr>
                <w:rFonts w:hint="eastAsia" w:cs="Arial"/>
                <w:lang w:eastAsia="zh-CN"/>
              </w:rPr>
              <w:t>声音警报。</w:t>
            </w:r>
          </w:p>
        </w:tc>
        <w:tc>
          <w:tcPr>
            <w:tcW w:w="1167" w:type="dxa"/>
            <w:vAlign w:val="center"/>
          </w:tcPr>
          <w:p>
            <w:pPr>
              <w:spacing w:line="360" w:lineRule="auto"/>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6"/>
              <w:numPr>
                <w:ilvl w:val="0"/>
                <w:numId w:val="2"/>
              </w:numPr>
              <w:spacing w:line="360" w:lineRule="auto"/>
              <w:jc w:val="center"/>
              <w:rPr>
                <w:rFonts w:ascii="宋体" w:hAnsi="宋体" w:cs="宋体"/>
                <w:lang w:bidi="th-TH"/>
              </w:rPr>
            </w:pPr>
          </w:p>
        </w:tc>
        <w:tc>
          <w:tcPr>
            <w:tcW w:w="7028" w:type="dxa"/>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贴有相应的警示标志。</w:t>
            </w:r>
          </w:p>
        </w:tc>
        <w:tc>
          <w:tcPr>
            <w:tcW w:w="1167" w:type="dxa"/>
            <w:vAlign w:val="center"/>
          </w:tcPr>
          <w:p>
            <w:pPr>
              <w:spacing w:line="360" w:lineRule="auto"/>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6"/>
              <w:numPr>
                <w:ilvl w:val="0"/>
                <w:numId w:val="2"/>
              </w:numPr>
              <w:spacing w:line="360" w:lineRule="auto"/>
              <w:jc w:val="center"/>
              <w:rPr>
                <w:rFonts w:ascii="宋体" w:hAnsi="宋体" w:cs="宋体"/>
                <w:lang w:bidi="th-TH"/>
              </w:rPr>
            </w:pPr>
          </w:p>
        </w:tc>
        <w:tc>
          <w:tcPr>
            <w:tcW w:w="7028" w:type="dxa"/>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设备上易对操作人员造成伤害的运动部位应有安全罩，电气控制柜装有安全锁，符合零进入标准。</w:t>
            </w:r>
          </w:p>
        </w:tc>
        <w:tc>
          <w:tcPr>
            <w:tcW w:w="1167" w:type="dxa"/>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6"/>
              <w:numPr>
                <w:ilvl w:val="0"/>
                <w:numId w:val="2"/>
              </w:numPr>
              <w:spacing w:line="360" w:lineRule="auto"/>
              <w:jc w:val="center"/>
              <w:rPr>
                <w:rFonts w:ascii="宋体" w:hAnsi="宋体" w:cs="宋体"/>
                <w:lang w:bidi="th-TH"/>
              </w:rPr>
            </w:pPr>
          </w:p>
        </w:tc>
        <w:tc>
          <w:tcPr>
            <w:tcW w:w="7028" w:type="dxa"/>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设备运行平稳，距离设备</w:t>
            </w:r>
            <w:r>
              <w:rPr>
                <w:rFonts w:ascii="宋体" w:hAnsi="宋体" w:cs="宋体"/>
                <w:bCs/>
                <w:color w:val="000000"/>
                <w:szCs w:val="24"/>
                <w:lang w:eastAsia="zh-CN"/>
              </w:rPr>
              <w:t>1m</w:t>
            </w:r>
            <w:r>
              <w:rPr>
                <w:rFonts w:hint="eastAsia" w:ascii="宋体" w:hAnsi="宋体" w:cs="宋体"/>
                <w:bCs/>
                <w:color w:val="000000"/>
                <w:szCs w:val="24"/>
                <w:lang w:eastAsia="zh-CN"/>
              </w:rPr>
              <w:t>远的噪音在82</w:t>
            </w:r>
            <w:r>
              <w:rPr>
                <w:rFonts w:ascii="宋体" w:hAnsi="宋体" w:cs="宋体"/>
                <w:bCs/>
                <w:color w:val="000000"/>
                <w:szCs w:val="24"/>
                <w:lang w:eastAsia="zh-CN"/>
              </w:rPr>
              <w:t xml:space="preserve"> db</w:t>
            </w:r>
            <w:r>
              <w:rPr>
                <w:rFonts w:hint="eastAsia" w:ascii="宋体" w:hAnsi="宋体" w:cs="宋体"/>
                <w:bCs/>
                <w:color w:val="000000"/>
                <w:szCs w:val="24"/>
                <w:lang w:eastAsia="zh-CN"/>
              </w:rPr>
              <w:t>以下。</w:t>
            </w:r>
          </w:p>
        </w:tc>
        <w:tc>
          <w:tcPr>
            <w:tcW w:w="1167" w:type="dxa"/>
            <w:vAlign w:val="center"/>
          </w:tcPr>
          <w:p>
            <w:pPr>
              <w:pStyle w:val="24"/>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6"/>
              <w:numPr>
                <w:ilvl w:val="0"/>
                <w:numId w:val="2"/>
              </w:numPr>
              <w:spacing w:line="360" w:lineRule="auto"/>
              <w:jc w:val="center"/>
              <w:rPr>
                <w:rFonts w:ascii="宋体" w:hAnsi="宋体" w:cs="宋体"/>
                <w:lang w:bidi="th-TH"/>
              </w:rPr>
            </w:pPr>
          </w:p>
        </w:tc>
        <w:tc>
          <w:tcPr>
            <w:tcW w:w="7028" w:type="dxa"/>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设备任何部位不能有锋利的边缘和尖角。</w:t>
            </w:r>
          </w:p>
        </w:tc>
        <w:tc>
          <w:tcPr>
            <w:tcW w:w="1167" w:type="dxa"/>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设备设计、制造、安装、安全符合国家相关标准。</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ascii="宋体" w:hAnsi="宋体" w:cs="宋体"/>
                <w:bCs/>
                <w:color w:val="000000"/>
                <w:szCs w:val="24"/>
                <w:lang w:eastAsia="zh-CN"/>
              </w:rPr>
              <w:t>设备</w:t>
            </w:r>
            <w:r>
              <w:rPr>
                <w:rFonts w:hint="eastAsia" w:ascii="宋体" w:hAnsi="宋体" w:cs="宋体"/>
                <w:bCs/>
                <w:color w:val="000000"/>
                <w:szCs w:val="24"/>
                <w:lang w:eastAsia="zh-CN"/>
              </w:rPr>
              <w:t>按D级净化标准要求设计。</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设备带紧急停机按钮, 断电时，机器逐渐停稳，以保护操作工，设备和产品。恢复供电后机器不能自动开机，必须人工启动。</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rPr>
            </w:pPr>
            <w:r>
              <w:rPr>
                <w:rFonts w:hint="eastAsia" w:ascii="宋体" w:hAnsi="宋体" w:cs="宋体"/>
                <w:bCs/>
                <w:color w:val="000000"/>
                <w:szCs w:val="24"/>
              </w:rPr>
              <w:t>220/380V，3 相5线制，50 Hz。</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所有线缆均有标号并有连接线路图。</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设备具有接地线和中性线。</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电气系统: 电气元件应选用名牌厂商的产品。</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设备应有过载保护、漏电保护装置，当设备功能失调或者故障的情况下，必须配备必要的保护措施保证设备和产品仍然处于安全状态。</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rPr>
            </w:pPr>
            <w:r>
              <w:rPr>
                <w:rFonts w:hint="eastAsia" w:ascii="宋体" w:hAnsi="宋体" w:cs="宋体"/>
                <w:bCs/>
                <w:color w:val="000000"/>
                <w:szCs w:val="24"/>
              </w:rPr>
              <w:t>联动控制：</w:t>
            </w:r>
          </w:p>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1、锅盖与主搅拌桨、切刀连锁。当打开时，主搅拌桨与切刀不能运行；</w:t>
            </w:r>
          </w:p>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2、主搅拌桨过载停机联动；</w:t>
            </w:r>
          </w:p>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3、切刀过载停机联动；</w:t>
            </w:r>
          </w:p>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4、压缩空气低压报警联动；</w:t>
            </w:r>
          </w:p>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5、断电、停机时，应有可以打开锅盖功能并有开盖安全锁。</w:t>
            </w:r>
          </w:p>
        </w:tc>
        <w:tc>
          <w:tcPr>
            <w:tcW w:w="116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bl>
    <w:p>
      <w:pPr>
        <w:pStyle w:val="7"/>
        <w:rPr>
          <w:rFonts w:ascii="宋体" w:hAnsi="宋体" w:cs="Arial"/>
          <w:sz w:val="24"/>
          <w:szCs w:val="24"/>
        </w:rPr>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5材质要求</w:t>
      </w:r>
    </w:p>
    <w:tbl>
      <w:tblPr>
        <w:tblStyle w:val="13"/>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986"/>
        <w:gridCol w:w="123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0" w:type="dxa"/>
            <w:shd w:val="pct20" w:color="auto" w:fill="FFFFFF"/>
            <w:vAlign w:val="center"/>
          </w:tcPr>
          <w:p>
            <w:pPr>
              <w:spacing w:line="360" w:lineRule="auto"/>
              <w:jc w:val="center"/>
              <w:rPr>
                <w:b/>
              </w:rPr>
            </w:pPr>
            <w:r>
              <w:rPr>
                <w:rFonts w:hint="eastAsia"/>
                <w:b/>
              </w:rPr>
              <w:t>序号</w:t>
            </w:r>
          </w:p>
        </w:tc>
        <w:tc>
          <w:tcPr>
            <w:tcW w:w="6986" w:type="dxa"/>
            <w:shd w:val="pct20" w:color="auto" w:fill="FFFFFF"/>
            <w:vAlign w:val="center"/>
          </w:tcPr>
          <w:p>
            <w:pPr>
              <w:spacing w:line="360" w:lineRule="auto"/>
              <w:jc w:val="center"/>
              <w:rPr>
                <w:b/>
              </w:rPr>
            </w:pPr>
            <w:r>
              <w:rPr>
                <w:rFonts w:hint="eastAsia"/>
                <w:b/>
              </w:rPr>
              <w:t>要求内容</w:t>
            </w:r>
          </w:p>
        </w:tc>
        <w:tc>
          <w:tcPr>
            <w:tcW w:w="1236" w:type="dxa"/>
            <w:shd w:val="pct20" w:color="auto" w:fill="FFFFFF"/>
            <w:vAlign w:val="center"/>
          </w:tcPr>
          <w:p>
            <w:pPr>
              <w:spacing w:line="360" w:lineRule="auto"/>
              <w:jc w:val="center"/>
              <w:rPr>
                <w:rFonts w:ascii="宋体"/>
                <w:b/>
              </w:rPr>
            </w:pPr>
            <w:r>
              <w:rPr>
                <w:rFonts w:hint="eastAsia"/>
                <w:b/>
              </w:rPr>
              <w:t>必需/期望</w:t>
            </w:r>
          </w:p>
        </w:tc>
        <w:tc>
          <w:tcPr>
            <w:tcW w:w="909"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6"/>
              <w:numPr>
                <w:ilvl w:val="0"/>
                <w:numId w:val="2"/>
              </w:numPr>
              <w:spacing w:line="360" w:lineRule="auto"/>
              <w:jc w:val="center"/>
              <w:rPr>
                <w:rFonts w:ascii="宋体" w:hAnsi="宋体" w:cs="宋体"/>
                <w:lang w:bidi="th-TH"/>
              </w:rPr>
            </w:pPr>
          </w:p>
        </w:tc>
        <w:tc>
          <w:tcPr>
            <w:tcW w:w="6986" w:type="dxa"/>
            <w:vAlign w:val="center"/>
          </w:tcPr>
          <w:p>
            <w:pPr>
              <w:spacing w:line="360" w:lineRule="auto"/>
              <w:ind w:left="12"/>
              <w:jc w:val="left"/>
              <w:rPr>
                <w:rFonts w:hint="eastAsia" w:ascii="宋体" w:hAnsi="宋体" w:eastAsia="宋体" w:cs="宋体"/>
                <w:sz w:val="24"/>
                <w:szCs w:val="24"/>
                <w:lang w:val="en-US" w:eastAsia="zh-CN"/>
              </w:rPr>
            </w:pPr>
            <w:r>
              <w:rPr>
                <w:rFonts w:hint="eastAsia" w:ascii="宋体" w:hAnsi="宋体" w:cs="宋体"/>
                <w:color w:val="000000"/>
                <w:sz w:val="24"/>
                <w:szCs w:val="24"/>
              </w:rPr>
              <w:t>箱体外表面采用AISI304不</w:t>
            </w:r>
            <w:r>
              <w:rPr>
                <w:rFonts w:hint="eastAsia" w:ascii="宋体" w:hAnsi="宋体" w:eastAsia="宋体" w:cs="宋体"/>
                <w:sz w:val="24"/>
                <w:szCs w:val="24"/>
                <w:lang w:val="en-US" w:eastAsia="zh-CN"/>
              </w:rPr>
              <w:t>锈钢，面板厚度不小于1.2mm,物料直接接触采用AISI316不锈钢材质</w:t>
            </w:r>
          </w:p>
        </w:tc>
        <w:tc>
          <w:tcPr>
            <w:tcW w:w="1236" w:type="dxa"/>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6"/>
              <w:numPr>
                <w:ilvl w:val="0"/>
                <w:numId w:val="2"/>
              </w:numPr>
              <w:spacing w:line="360" w:lineRule="auto"/>
              <w:jc w:val="center"/>
              <w:rPr>
                <w:rFonts w:ascii="宋体" w:hAnsi="宋体" w:cs="宋体"/>
                <w:lang w:bidi="th-TH"/>
              </w:rPr>
            </w:pPr>
          </w:p>
        </w:tc>
        <w:tc>
          <w:tcPr>
            <w:tcW w:w="6986" w:type="dxa"/>
          </w:tcPr>
          <w:p>
            <w:pPr>
              <w:spacing w:line="360" w:lineRule="auto"/>
              <w:jc w:val="left"/>
              <w:rPr>
                <w:rFonts w:ascii="宋体" w:hAnsi="宋体" w:cs="宋体"/>
                <w:color w:val="000000"/>
                <w:sz w:val="24"/>
                <w:szCs w:val="24"/>
                <w:lang w:val="en-GB"/>
              </w:rPr>
            </w:pPr>
            <w:r>
              <w:rPr>
                <w:rFonts w:hint="eastAsia" w:ascii="宋体" w:hAnsi="宋体" w:cs="宋体"/>
                <w:color w:val="000000"/>
                <w:sz w:val="24"/>
                <w:szCs w:val="24"/>
              </w:rPr>
              <w:t>表面采用化学镀等处理的零件应无锈蚀和剥落现象；外露零部件采用奥氏体不锈钢，当采用非金属时，应无毒、不与药品发生化学变化、不腐蚀材质</w:t>
            </w:r>
          </w:p>
        </w:tc>
        <w:tc>
          <w:tcPr>
            <w:tcW w:w="1236" w:type="dxa"/>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6"/>
              <w:numPr>
                <w:ilvl w:val="0"/>
                <w:numId w:val="2"/>
              </w:numPr>
              <w:spacing w:line="360" w:lineRule="auto"/>
              <w:jc w:val="center"/>
              <w:rPr>
                <w:rFonts w:ascii="宋体" w:hAnsi="宋体" w:cs="宋体"/>
                <w:lang w:bidi="th-TH"/>
              </w:rPr>
            </w:pPr>
          </w:p>
        </w:tc>
        <w:tc>
          <w:tcPr>
            <w:tcW w:w="6986" w:type="dxa"/>
            <w:vAlign w:val="center"/>
          </w:tcPr>
          <w:p>
            <w:pPr>
              <w:pStyle w:val="28"/>
              <w:tabs>
                <w:tab w:val="center" w:pos="2268"/>
                <w:tab w:val="right" w:pos="5387"/>
                <w:tab w:val="clear" w:pos="4820"/>
              </w:tabs>
              <w:spacing w:line="360" w:lineRule="auto"/>
              <w:rPr>
                <w:rFonts w:ascii="宋体" w:hAnsi="宋体" w:cs="宋体"/>
                <w:b w:val="0"/>
                <w:caps w:val="0"/>
                <w:szCs w:val="24"/>
                <w:lang w:eastAsia="zh-CN"/>
              </w:rPr>
            </w:pPr>
            <w:r>
              <w:rPr>
                <w:rFonts w:hint="eastAsia" w:ascii="宋体" w:hAnsi="宋体" w:cs="宋体"/>
                <w:b w:val="0"/>
                <w:caps w:val="0"/>
                <w:szCs w:val="24"/>
                <w:lang w:eastAsia="zh-CN"/>
              </w:rPr>
              <w:t>与产品接触表面应该无孔、无脱落颗粒，且无渗漏。所有产品接触材料应该符合GM</w:t>
            </w:r>
            <w:bookmarkStart w:id="38" w:name="_GoBack"/>
            <w:bookmarkEnd w:id="38"/>
            <w:r>
              <w:rPr>
                <w:rFonts w:hint="eastAsia" w:ascii="宋体" w:hAnsi="宋体" w:cs="宋体"/>
                <w:b w:val="0"/>
                <w:caps w:val="0"/>
                <w:szCs w:val="24"/>
                <w:lang w:eastAsia="zh-CN"/>
              </w:rPr>
              <w:t>P要求，并能提供相关的材质证明。</w:t>
            </w:r>
          </w:p>
        </w:tc>
        <w:tc>
          <w:tcPr>
            <w:tcW w:w="1236" w:type="dxa"/>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6"/>
              <w:numPr>
                <w:ilvl w:val="0"/>
                <w:numId w:val="2"/>
              </w:numPr>
              <w:spacing w:line="360" w:lineRule="auto"/>
              <w:jc w:val="center"/>
              <w:rPr>
                <w:rFonts w:ascii="宋体" w:hAnsi="宋体" w:cs="宋体"/>
                <w:lang w:bidi="th-TH"/>
              </w:rPr>
            </w:pPr>
          </w:p>
        </w:tc>
        <w:tc>
          <w:tcPr>
            <w:tcW w:w="6986" w:type="dxa"/>
            <w:vAlign w:val="center"/>
          </w:tcPr>
          <w:p>
            <w:pPr>
              <w:pStyle w:val="28"/>
              <w:tabs>
                <w:tab w:val="center" w:pos="2268"/>
                <w:tab w:val="right" w:pos="5387"/>
                <w:tab w:val="clear" w:pos="4820"/>
              </w:tabs>
              <w:spacing w:line="360" w:lineRule="auto"/>
              <w:rPr>
                <w:rFonts w:ascii="宋体" w:hAnsi="宋体" w:cs="宋体"/>
                <w:b w:val="0"/>
                <w:caps w:val="0"/>
                <w:szCs w:val="24"/>
                <w:lang w:eastAsia="zh-CN"/>
              </w:rPr>
            </w:pPr>
            <w:r>
              <w:rPr>
                <w:rFonts w:hint="eastAsia" w:ascii="宋体" w:hAnsi="宋体" w:cs="宋体"/>
                <w:b w:val="0"/>
                <w:caps w:val="0"/>
                <w:szCs w:val="24"/>
                <w:lang w:eastAsia="zh-CN"/>
              </w:rPr>
              <w:t>设备运行综合性能：设备配备良好的减振、传动、变速、冷却、润滑装置，能在连续满负荷生产条件下，没有明显漏油和温升现象、没有明显的振动和噪声恶化现象，始终符合出厂验收标准。</w:t>
            </w:r>
          </w:p>
        </w:tc>
        <w:tc>
          <w:tcPr>
            <w:tcW w:w="1236" w:type="dxa"/>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000000"/>
                <w:sz w:val="24"/>
                <w:szCs w:val="24"/>
                <w:lang w:val="en-GB"/>
              </w:rPr>
            </w:pPr>
            <w:r>
              <w:rPr>
                <w:rFonts w:hint="eastAsia" w:ascii="宋体" w:hAnsi="宋体" w:cs="宋体"/>
                <w:color w:val="000000"/>
                <w:sz w:val="24"/>
                <w:szCs w:val="24"/>
              </w:rPr>
              <w:t>所有轴承应采用密封轴承</w:t>
            </w:r>
          </w:p>
        </w:tc>
        <w:tc>
          <w:tcPr>
            <w:tcW w:w="123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000000"/>
                <w:sz w:val="24"/>
                <w:szCs w:val="24"/>
                <w:lang w:val="en-GB"/>
              </w:rPr>
            </w:pPr>
            <w:r>
              <w:rPr>
                <w:rFonts w:hint="eastAsia" w:ascii="宋体" w:hAnsi="宋体" w:cs="宋体"/>
                <w:color w:val="000000"/>
                <w:sz w:val="24"/>
                <w:szCs w:val="24"/>
              </w:rPr>
              <w:t>整机有机械过载保护装置</w:t>
            </w:r>
          </w:p>
        </w:tc>
        <w:tc>
          <w:tcPr>
            <w:tcW w:w="123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bl>
    <w:p>
      <w:pPr>
        <w:pStyle w:val="5"/>
        <w:keepNext w:val="0"/>
        <w:spacing w:before="0" w:after="0" w:line="360" w:lineRule="auto"/>
        <w:rPr>
          <w:rFonts w:ascii="宋体" w:hAnsi="宋体" w:eastAsia="宋体" w:cs="Arial"/>
          <w:b w:val="0"/>
          <w:bCs w:val="0"/>
          <w:sz w:val="24"/>
          <w:szCs w:val="24"/>
        </w:rPr>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6</w:t>
      </w:r>
      <w:r>
        <w:rPr>
          <w:rFonts w:hint="eastAsia" w:ascii="宋体" w:hAnsi="宋体" w:eastAsia="宋体" w:cs="Arial"/>
          <w:b w:val="0"/>
          <w:bCs w:val="0"/>
          <w:sz w:val="24"/>
          <w:szCs w:val="24"/>
          <w:lang w:val="en-GB"/>
        </w:rPr>
        <w:t>清洁要求</w:t>
      </w:r>
    </w:p>
    <w:tbl>
      <w:tblPr>
        <w:tblStyle w:val="13"/>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007"/>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1" w:type="dxa"/>
            <w:shd w:val="pct20" w:color="auto" w:fill="FFFFFF"/>
            <w:vAlign w:val="center"/>
          </w:tcPr>
          <w:p>
            <w:pPr>
              <w:spacing w:line="360" w:lineRule="auto"/>
              <w:jc w:val="center"/>
              <w:rPr>
                <w:b/>
              </w:rPr>
            </w:pPr>
            <w:r>
              <w:rPr>
                <w:rFonts w:hint="eastAsia"/>
                <w:b/>
              </w:rPr>
              <w:t>序号</w:t>
            </w:r>
          </w:p>
        </w:tc>
        <w:tc>
          <w:tcPr>
            <w:tcW w:w="7007" w:type="dxa"/>
            <w:shd w:val="pct20" w:color="auto" w:fill="FFFFFF"/>
            <w:vAlign w:val="center"/>
          </w:tcPr>
          <w:p>
            <w:pPr>
              <w:spacing w:line="360" w:lineRule="auto"/>
              <w:jc w:val="center"/>
              <w:rPr>
                <w:b/>
              </w:rPr>
            </w:pPr>
            <w:r>
              <w:rPr>
                <w:rFonts w:hint="eastAsia"/>
                <w:b/>
              </w:rPr>
              <w:t>要求内容</w:t>
            </w:r>
          </w:p>
        </w:tc>
        <w:tc>
          <w:tcPr>
            <w:tcW w:w="1196" w:type="dxa"/>
            <w:shd w:val="pct20" w:color="auto" w:fill="FFFFFF"/>
            <w:vAlign w:val="center"/>
          </w:tcPr>
          <w:p>
            <w:pPr>
              <w:spacing w:line="360" w:lineRule="auto"/>
              <w:jc w:val="center"/>
              <w:rPr>
                <w:rFonts w:ascii="宋体"/>
                <w:b/>
              </w:rPr>
            </w:pPr>
            <w:r>
              <w:rPr>
                <w:rFonts w:hint="eastAsia"/>
                <w:b/>
              </w:rPr>
              <w:t>必需/期望</w:t>
            </w:r>
          </w:p>
        </w:tc>
        <w:tc>
          <w:tcPr>
            <w:tcW w:w="889"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1" w:type="dxa"/>
            <w:vAlign w:val="center"/>
          </w:tcPr>
          <w:p>
            <w:pPr>
              <w:pStyle w:val="26"/>
              <w:numPr>
                <w:ilvl w:val="0"/>
                <w:numId w:val="2"/>
              </w:numPr>
              <w:spacing w:line="360" w:lineRule="auto"/>
              <w:jc w:val="center"/>
            </w:pPr>
          </w:p>
        </w:tc>
        <w:tc>
          <w:tcPr>
            <w:tcW w:w="7007" w:type="dxa"/>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设备电缆和辅助管线（洁净区内）配备洁净管外套。</w:t>
            </w:r>
          </w:p>
        </w:tc>
        <w:tc>
          <w:tcPr>
            <w:tcW w:w="1196"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vAlign w:val="center"/>
          </w:tcPr>
          <w:p>
            <w:pPr>
              <w:pStyle w:val="26"/>
              <w:numPr>
                <w:ilvl w:val="0"/>
                <w:numId w:val="2"/>
              </w:numPr>
              <w:spacing w:line="360" w:lineRule="auto"/>
              <w:jc w:val="center"/>
            </w:pPr>
          </w:p>
        </w:tc>
        <w:tc>
          <w:tcPr>
            <w:tcW w:w="7007" w:type="dxa"/>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需要清洗的设备部件要便于拆卸清洁。</w:t>
            </w:r>
          </w:p>
        </w:tc>
        <w:tc>
          <w:tcPr>
            <w:tcW w:w="1196"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0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所提供的设备、附件和连接管线的材质和结构设计，须确保易拆装、无死角、易清洁。</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0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设备可耐受环境臭氧消毒，本机不得由于臭氧等消毒产生故障。</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0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方便使用消毒剂，如酒精等擦洗消毒。</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0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设备表面及料缸内部便于清洁。</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7007"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凡是接触物料的部件包括料缸、缸盖、搅拌桨、制粒刀等应易于拆卸和清洗。</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bl>
    <w:p>
      <w:pPr>
        <w:spacing w:line="360" w:lineRule="auto"/>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7文件资料要求</w:t>
      </w:r>
    </w:p>
    <w:tbl>
      <w:tblPr>
        <w:tblStyle w:val="13"/>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7077"/>
        <w:gridCol w:w="12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36" w:type="dxa"/>
            <w:shd w:val="pct20" w:color="auto" w:fill="FFFFFF"/>
            <w:vAlign w:val="center"/>
          </w:tcPr>
          <w:p>
            <w:pPr>
              <w:spacing w:line="360" w:lineRule="auto"/>
              <w:jc w:val="center"/>
              <w:rPr>
                <w:b/>
              </w:rPr>
            </w:pPr>
            <w:r>
              <w:rPr>
                <w:rFonts w:hint="eastAsia"/>
                <w:b/>
              </w:rPr>
              <w:t>序号</w:t>
            </w:r>
          </w:p>
        </w:tc>
        <w:tc>
          <w:tcPr>
            <w:tcW w:w="7077" w:type="dxa"/>
            <w:shd w:val="pct20" w:color="auto" w:fill="FFFFFF"/>
            <w:vAlign w:val="center"/>
          </w:tcPr>
          <w:p>
            <w:pPr>
              <w:spacing w:line="360" w:lineRule="auto"/>
              <w:jc w:val="center"/>
              <w:rPr>
                <w:b/>
              </w:rPr>
            </w:pPr>
            <w:r>
              <w:rPr>
                <w:rFonts w:hint="eastAsia"/>
                <w:b/>
              </w:rPr>
              <w:t>要求内容</w:t>
            </w:r>
          </w:p>
        </w:tc>
        <w:tc>
          <w:tcPr>
            <w:tcW w:w="1200" w:type="dxa"/>
            <w:shd w:val="pct20" w:color="auto" w:fill="FFFFFF"/>
            <w:vAlign w:val="center"/>
          </w:tcPr>
          <w:p>
            <w:pPr>
              <w:spacing w:line="360" w:lineRule="auto"/>
              <w:jc w:val="center"/>
              <w:rPr>
                <w:rFonts w:ascii="宋体"/>
                <w:b/>
              </w:rPr>
            </w:pPr>
            <w:r>
              <w:rPr>
                <w:rFonts w:hint="eastAsia"/>
                <w:b/>
              </w:rPr>
              <w:t>必需/期望</w:t>
            </w:r>
          </w:p>
        </w:tc>
        <w:tc>
          <w:tcPr>
            <w:tcW w:w="90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vAlign w:val="center"/>
          </w:tcPr>
          <w:p>
            <w:pPr>
              <w:pStyle w:val="26"/>
              <w:numPr>
                <w:ilvl w:val="0"/>
                <w:numId w:val="2"/>
              </w:numPr>
              <w:spacing w:line="360" w:lineRule="auto"/>
              <w:jc w:val="center"/>
            </w:pPr>
          </w:p>
        </w:tc>
        <w:tc>
          <w:tcPr>
            <w:tcW w:w="7077" w:type="dxa"/>
          </w:tcPr>
          <w:p>
            <w:pPr>
              <w:spacing w:line="360" w:lineRule="auto"/>
              <w:rPr>
                <w:rFonts w:ascii="宋体" w:hAnsi="宋体" w:cs="宋体"/>
                <w:sz w:val="24"/>
                <w:szCs w:val="24"/>
                <w:lang w:val="en-GB"/>
              </w:rPr>
            </w:pPr>
            <w:r>
              <w:rPr>
                <w:rFonts w:hint="eastAsia" w:ascii="宋体" w:hAnsi="宋体" w:cs="宋体"/>
                <w:sz w:val="24"/>
                <w:szCs w:val="24"/>
              </w:rPr>
              <w:t>所有资料为一式三份（纸质二份，电子版一份）</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vAlign w:val="center"/>
          </w:tcPr>
          <w:p>
            <w:pPr>
              <w:pStyle w:val="26"/>
              <w:numPr>
                <w:ilvl w:val="0"/>
                <w:numId w:val="2"/>
              </w:numPr>
              <w:spacing w:line="360" w:lineRule="auto"/>
              <w:jc w:val="center"/>
            </w:pPr>
          </w:p>
        </w:tc>
        <w:tc>
          <w:tcPr>
            <w:tcW w:w="7077" w:type="dxa"/>
          </w:tcPr>
          <w:p>
            <w:pPr>
              <w:spacing w:line="360" w:lineRule="auto"/>
              <w:rPr>
                <w:rFonts w:ascii="宋体" w:hAnsi="宋体" w:cs="宋体"/>
                <w:sz w:val="24"/>
                <w:szCs w:val="24"/>
                <w:lang w:val="en-GB"/>
              </w:rPr>
            </w:pPr>
            <w:r>
              <w:rPr>
                <w:rFonts w:hint="eastAsia" w:ascii="宋体" w:hAnsi="宋体" w:cs="宋体"/>
                <w:sz w:val="24"/>
                <w:szCs w:val="24"/>
              </w:rPr>
              <w:t>供应商提供符合2010版GMP标准文件（包括：DQ、FAT、IQ、SAT、OQ、PQ报告等）。</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vAlign w:val="center"/>
          </w:tcPr>
          <w:p>
            <w:pPr>
              <w:pStyle w:val="26"/>
              <w:numPr>
                <w:ilvl w:val="0"/>
                <w:numId w:val="2"/>
              </w:numPr>
              <w:spacing w:line="360" w:lineRule="auto"/>
              <w:jc w:val="center"/>
            </w:pPr>
          </w:p>
        </w:tc>
        <w:tc>
          <w:tcPr>
            <w:tcW w:w="7077" w:type="dxa"/>
          </w:tcPr>
          <w:p>
            <w:pPr>
              <w:spacing w:line="360" w:lineRule="auto"/>
              <w:rPr>
                <w:rFonts w:ascii="宋体" w:hAnsi="宋体" w:cs="宋体"/>
                <w:sz w:val="24"/>
                <w:szCs w:val="24"/>
                <w:lang w:val="en-GB"/>
              </w:rPr>
            </w:pPr>
            <w:r>
              <w:rPr>
                <w:rFonts w:hint="eastAsia" w:ascii="宋体" w:hAnsi="宋体" w:cs="宋体"/>
                <w:sz w:val="24"/>
                <w:szCs w:val="24"/>
              </w:rPr>
              <w:t xml:space="preserve">提供设备主构件、相关附属仪表、仪器一览表（包括：型号、生产厂家）, </w:t>
            </w:r>
            <w:r>
              <w:rPr>
                <w:rFonts w:hint="eastAsia" w:ascii="宋体" w:hAnsi="宋体" w:cs="宋体"/>
                <w:sz w:val="24"/>
                <w:szCs w:val="24"/>
                <w:lang w:bidi="th-TH"/>
              </w:rPr>
              <w:t>设备附件（PLC、变频器、传感器等）需单独提供说明书或操作手册。</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vAlign w:val="center"/>
          </w:tcPr>
          <w:p>
            <w:pPr>
              <w:pStyle w:val="26"/>
              <w:numPr>
                <w:ilvl w:val="0"/>
                <w:numId w:val="2"/>
              </w:numPr>
              <w:spacing w:line="360" w:lineRule="auto"/>
              <w:jc w:val="center"/>
            </w:pPr>
          </w:p>
        </w:tc>
        <w:tc>
          <w:tcPr>
            <w:tcW w:w="7077" w:type="dxa"/>
          </w:tcPr>
          <w:p>
            <w:pPr>
              <w:spacing w:line="360" w:lineRule="auto"/>
              <w:rPr>
                <w:rFonts w:ascii="宋体" w:hAnsi="宋体" w:cs="宋体"/>
                <w:sz w:val="24"/>
                <w:szCs w:val="24"/>
              </w:rPr>
            </w:pPr>
            <w:r>
              <w:rPr>
                <w:rFonts w:hint="eastAsia" w:ascii="宋体" w:hAnsi="宋体" w:cs="宋体"/>
                <w:sz w:val="24"/>
                <w:szCs w:val="24"/>
              </w:rPr>
              <w:t>设备供应商应提供一套操作手册，包括以下内容：A.技术数据：</w:t>
            </w:r>
          </w:p>
          <w:p>
            <w:pPr>
              <w:tabs>
                <w:tab w:val="left" w:pos="1527"/>
              </w:tabs>
              <w:spacing w:line="360" w:lineRule="auto"/>
              <w:rPr>
                <w:rFonts w:ascii="宋体" w:hAnsi="宋体" w:cs="宋体"/>
                <w:sz w:val="24"/>
                <w:szCs w:val="24"/>
                <w:lang w:val="en-GB"/>
              </w:rPr>
            </w:pPr>
            <w:r>
              <w:rPr>
                <w:rFonts w:hint="eastAsia" w:ascii="宋体" w:hAnsi="宋体" w:cs="宋体"/>
                <w:sz w:val="24"/>
                <w:szCs w:val="24"/>
              </w:rPr>
              <w:t>设备技术说明、设备详细尺寸、材质证明文件、单体设备、部件、仪器仪表等相关文件；B.安装和空间要求：基础和空间要求；C.使用说明书：操作、检查和问题解答；D.维护说明书：</w:t>
            </w:r>
            <w:r>
              <w:rPr>
                <w:rFonts w:hint="eastAsia" w:ascii="宋体" w:hAnsi="宋体" w:cs="宋体"/>
                <w:sz w:val="24"/>
                <w:szCs w:val="24"/>
                <w:lang w:bidi="th-TH"/>
              </w:rPr>
              <w:t>维护</w:t>
            </w:r>
            <w:r>
              <w:rPr>
                <w:rFonts w:hint="eastAsia" w:ascii="宋体" w:hAnsi="宋体" w:cs="宋体"/>
                <w:sz w:val="24"/>
                <w:szCs w:val="24"/>
              </w:rPr>
              <w:t>、润滑</w:t>
            </w:r>
            <w:r>
              <w:rPr>
                <w:rFonts w:hint="eastAsia" w:ascii="宋体" w:hAnsi="宋体" w:cs="宋体"/>
                <w:sz w:val="24"/>
                <w:szCs w:val="24"/>
                <w:lang w:bidi="th-TH"/>
              </w:rPr>
              <w:t>指南、频率及建议运行计划</w:t>
            </w:r>
            <w:r>
              <w:rPr>
                <w:rFonts w:hint="eastAsia" w:ascii="宋体" w:hAnsi="宋体" w:cs="宋体"/>
                <w:sz w:val="24"/>
                <w:szCs w:val="24"/>
              </w:rPr>
              <w:t>；E.图纸和零件表：机械部分、电气部分、仪器仪表；F.仪器仪表校准证明；G.推荐的备件</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vAlign w:val="center"/>
          </w:tcPr>
          <w:p>
            <w:pPr>
              <w:pStyle w:val="26"/>
              <w:numPr>
                <w:ilvl w:val="0"/>
                <w:numId w:val="2"/>
              </w:numPr>
              <w:spacing w:line="360" w:lineRule="auto"/>
              <w:jc w:val="center"/>
            </w:pPr>
          </w:p>
        </w:tc>
        <w:tc>
          <w:tcPr>
            <w:tcW w:w="7077" w:type="dxa"/>
          </w:tcPr>
          <w:p>
            <w:pPr>
              <w:autoSpaceDE w:val="0"/>
              <w:autoSpaceDN w:val="0"/>
              <w:adjustRightInd w:val="0"/>
              <w:spacing w:line="360" w:lineRule="auto"/>
              <w:rPr>
                <w:rFonts w:ascii="宋体" w:hAnsi="宋体" w:cs="宋体"/>
                <w:sz w:val="24"/>
                <w:szCs w:val="24"/>
                <w:lang w:val="en-GB" w:bidi="th-TH"/>
              </w:rPr>
            </w:pPr>
            <w:r>
              <w:rPr>
                <w:rFonts w:hint="eastAsia" w:ascii="宋体" w:hAnsi="宋体" w:cs="宋体"/>
                <w:sz w:val="24"/>
                <w:szCs w:val="24"/>
                <w:lang w:bidi="th-TH"/>
              </w:rPr>
              <w:t>机</w:t>
            </w:r>
            <w:r>
              <w:rPr>
                <w:rFonts w:hint="eastAsia" w:ascii="宋体" w:hAnsi="宋体" w:cs="宋体"/>
                <w:sz w:val="24"/>
                <w:szCs w:val="24"/>
                <w:lang w:val="en-GB" w:bidi="th-TH"/>
              </w:rPr>
              <w:t>械零件润滑点在机器上、图纸上标出。</w:t>
            </w:r>
          </w:p>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lang w:val="en-GB" w:bidi="th-TH"/>
              </w:rPr>
              <w:t>手册上说明润滑周期，提供润滑油牌号。</w:t>
            </w:r>
            <w:r>
              <w:rPr>
                <w:rFonts w:hint="eastAsia" w:ascii="宋体" w:hAnsi="宋体" w:cs="宋体"/>
                <w:sz w:val="24"/>
                <w:szCs w:val="24"/>
                <w:lang w:bidi="th-TH"/>
              </w:rPr>
              <w:t>提供润滑油清单（名称 型号规格、数量、润滑周期）</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36" w:type="dxa"/>
            <w:vAlign w:val="center"/>
          </w:tcPr>
          <w:p>
            <w:pPr>
              <w:pStyle w:val="26"/>
              <w:numPr>
                <w:ilvl w:val="0"/>
                <w:numId w:val="2"/>
              </w:numPr>
              <w:spacing w:line="360" w:lineRule="auto"/>
              <w:jc w:val="center"/>
            </w:pPr>
          </w:p>
        </w:tc>
        <w:tc>
          <w:tcPr>
            <w:tcW w:w="707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FAT文件需经用户确认后，由供应商和我公司人员共同实施验收，必须达到URS规定的各项需求标准，提供FAT记录原件</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vAlign w:val="center"/>
          </w:tcPr>
          <w:p>
            <w:pPr>
              <w:pStyle w:val="26"/>
              <w:numPr>
                <w:ilvl w:val="0"/>
                <w:numId w:val="2"/>
              </w:numPr>
              <w:spacing w:line="360" w:lineRule="auto"/>
              <w:jc w:val="center"/>
            </w:pPr>
          </w:p>
        </w:tc>
        <w:tc>
          <w:tcPr>
            <w:tcW w:w="707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我公司编制的SAT文件经确认后</w:t>
            </w:r>
            <w:r>
              <w:rPr>
                <w:rFonts w:hint="eastAsia" w:ascii="宋体" w:hAnsi="宋体" w:cs="宋体"/>
                <w:iCs/>
                <w:sz w:val="24"/>
                <w:szCs w:val="24"/>
              </w:rPr>
              <w:t>，由供应商和我公司人员共同实施验收，必须达到URS规定的各项需求标准，配合做好SAT记录</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vAlign w:val="center"/>
          </w:tcPr>
          <w:p>
            <w:pPr>
              <w:pStyle w:val="26"/>
              <w:numPr>
                <w:ilvl w:val="0"/>
                <w:numId w:val="2"/>
              </w:numPr>
              <w:spacing w:line="360" w:lineRule="auto"/>
              <w:jc w:val="center"/>
            </w:pPr>
          </w:p>
        </w:tc>
        <w:tc>
          <w:tcPr>
            <w:tcW w:w="707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供方配合我公司人员实施IQ、OQ、PQ验证工作</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vAlign w:val="center"/>
          </w:tcPr>
          <w:p>
            <w:pPr>
              <w:pStyle w:val="26"/>
              <w:numPr>
                <w:ilvl w:val="0"/>
                <w:numId w:val="2"/>
              </w:numPr>
              <w:spacing w:line="360" w:lineRule="auto"/>
              <w:jc w:val="center"/>
            </w:pPr>
          </w:p>
        </w:tc>
        <w:tc>
          <w:tcPr>
            <w:tcW w:w="7077"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机器安装完成后供应商应有技术人员协同我公司进行产品试生产，且达到URS中指标要求</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0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在试运行过程中同样的问题多次发生，则供应商必须根除此问题后才能通过验收。</w:t>
            </w:r>
          </w:p>
        </w:tc>
        <w:tc>
          <w:tcPr>
            <w:tcW w:w="120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0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供应商应协助用户编写确认文件，并与我公司共同完成</w:t>
            </w:r>
            <w:r>
              <w:rPr>
                <w:rFonts w:hint="eastAsia" w:ascii="宋体" w:hAnsi="宋体" w:cs="宋体"/>
                <w:iCs/>
                <w:sz w:val="24"/>
                <w:szCs w:val="24"/>
              </w:rPr>
              <w:t>安装/运行确认。</w:t>
            </w:r>
          </w:p>
        </w:tc>
        <w:tc>
          <w:tcPr>
            <w:tcW w:w="120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0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供方提供安装图纸、机器维护手册、操作手册、证书等文件。</w:t>
            </w:r>
          </w:p>
        </w:tc>
        <w:tc>
          <w:tcPr>
            <w:tcW w:w="120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0"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bl>
    <w:p>
      <w:pPr>
        <w:spacing w:line="360" w:lineRule="auto"/>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8测试要求</w:t>
      </w:r>
    </w:p>
    <w:tbl>
      <w:tblPr>
        <w:tblStyle w:val="13"/>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7052"/>
        <w:gridCol w:w="118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63" w:type="dxa"/>
            <w:shd w:val="pct20" w:color="auto" w:fill="FFFFFF"/>
            <w:vAlign w:val="center"/>
          </w:tcPr>
          <w:p>
            <w:pPr>
              <w:spacing w:line="360" w:lineRule="auto"/>
              <w:jc w:val="center"/>
              <w:rPr>
                <w:b/>
              </w:rPr>
            </w:pPr>
            <w:r>
              <w:rPr>
                <w:rFonts w:hint="eastAsia"/>
                <w:b/>
              </w:rPr>
              <w:t>序号</w:t>
            </w:r>
          </w:p>
        </w:tc>
        <w:tc>
          <w:tcPr>
            <w:tcW w:w="7052" w:type="dxa"/>
            <w:shd w:val="pct20" w:color="auto" w:fill="FFFFFF"/>
            <w:vAlign w:val="center"/>
          </w:tcPr>
          <w:p>
            <w:pPr>
              <w:spacing w:line="360" w:lineRule="auto"/>
              <w:jc w:val="center"/>
              <w:rPr>
                <w:b/>
              </w:rPr>
            </w:pPr>
            <w:r>
              <w:rPr>
                <w:rFonts w:hint="eastAsia"/>
                <w:b/>
              </w:rPr>
              <w:t>要求内容</w:t>
            </w:r>
          </w:p>
        </w:tc>
        <w:tc>
          <w:tcPr>
            <w:tcW w:w="1180" w:type="dxa"/>
            <w:shd w:val="pct20" w:color="auto" w:fill="FFFFFF"/>
            <w:vAlign w:val="center"/>
          </w:tcPr>
          <w:p>
            <w:pPr>
              <w:spacing w:line="360" w:lineRule="auto"/>
              <w:jc w:val="center"/>
              <w:rPr>
                <w:rFonts w:ascii="宋体"/>
                <w:b/>
              </w:rPr>
            </w:pPr>
            <w:r>
              <w:rPr>
                <w:rFonts w:hint="eastAsia"/>
                <w:b/>
              </w:rPr>
              <w:t>必需/期望</w:t>
            </w:r>
          </w:p>
        </w:tc>
        <w:tc>
          <w:tcPr>
            <w:tcW w:w="972"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3" w:type="dxa"/>
            <w:vAlign w:val="center"/>
          </w:tcPr>
          <w:p>
            <w:pPr>
              <w:pStyle w:val="26"/>
              <w:numPr>
                <w:ilvl w:val="0"/>
                <w:numId w:val="2"/>
              </w:numPr>
              <w:spacing w:line="360" w:lineRule="auto"/>
              <w:jc w:val="center"/>
            </w:pPr>
          </w:p>
        </w:tc>
        <w:tc>
          <w:tcPr>
            <w:tcW w:w="7052"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3" w:type="dxa"/>
            <w:vAlign w:val="center"/>
          </w:tcPr>
          <w:p>
            <w:pPr>
              <w:pStyle w:val="26"/>
              <w:numPr>
                <w:ilvl w:val="0"/>
                <w:numId w:val="2"/>
              </w:numPr>
              <w:spacing w:line="360" w:lineRule="auto"/>
              <w:jc w:val="center"/>
            </w:pPr>
          </w:p>
        </w:tc>
        <w:tc>
          <w:tcPr>
            <w:tcW w:w="7052"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FAT文件需经用户确认后，由供应商和我公司人员共同实施验收，必须达到URS规定的各项需求标准，提供FAT记录原件</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3" w:type="dxa"/>
            <w:vAlign w:val="center"/>
          </w:tcPr>
          <w:p>
            <w:pPr>
              <w:pStyle w:val="26"/>
              <w:numPr>
                <w:ilvl w:val="0"/>
                <w:numId w:val="2"/>
              </w:numPr>
              <w:spacing w:line="360" w:lineRule="auto"/>
              <w:jc w:val="center"/>
            </w:pPr>
          </w:p>
        </w:tc>
        <w:tc>
          <w:tcPr>
            <w:tcW w:w="7052"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我公司编制的SAT文件经确认后</w:t>
            </w:r>
            <w:r>
              <w:rPr>
                <w:rFonts w:hint="eastAsia" w:ascii="宋体" w:hAnsi="宋体" w:cs="宋体"/>
                <w:iCs/>
                <w:sz w:val="24"/>
                <w:szCs w:val="24"/>
              </w:rPr>
              <w:t>，由供应商和我公司人员共同实施验收，必须达到URS规定的各项需求标准，配合做好SAT记录</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3" w:type="dxa"/>
            <w:vAlign w:val="center"/>
          </w:tcPr>
          <w:p>
            <w:pPr>
              <w:pStyle w:val="26"/>
              <w:numPr>
                <w:ilvl w:val="0"/>
                <w:numId w:val="2"/>
              </w:numPr>
              <w:spacing w:line="360" w:lineRule="auto"/>
              <w:jc w:val="center"/>
            </w:pPr>
          </w:p>
        </w:tc>
        <w:tc>
          <w:tcPr>
            <w:tcW w:w="7052"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供方配合我公司人员实施IQ、OQ、PQ验证工作</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3" w:type="dxa"/>
            <w:vAlign w:val="center"/>
          </w:tcPr>
          <w:p>
            <w:pPr>
              <w:pStyle w:val="26"/>
              <w:numPr>
                <w:ilvl w:val="0"/>
                <w:numId w:val="2"/>
              </w:numPr>
              <w:spacing w:line="360" w:lineRule="auto"/>
              <w:jc w:val="center"/>
            </w:pPr>
          </w:p>
        </w:tc>
        <w:tc>
          <w:tcPr>
            <w:tcW w:w="7052"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机器安装完成后供应商应有技术人员协同我公司进行产品试生产，且达到URS中指标要求</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3" w:type="dxa"/>
            <w:vAlign w:val="center"/>
          </w:tcPr>
          <w:p>
            <w:pPr>
              <w:pStyle w:val="26"/>
              <w:numPr>
                <w:ilvl w:val="0"/>
                <w:numId w:val="2"/>
              </w:numPr>
              <w:spacing w:line="360" w:lineRule="auto"/>
              <w:jc w:val="center"/>
            </w:pPr>
          </w:p>
        </w:tc>
        <w:tc>
          <w:tcPr>
            <w:tcW w:w="7052"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在试运行过程中同样的问题多次发生，则供应商必须根除此问题后才能通过验收。</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3" w:type="dxa"/>
            <w:vAlign w:val="center"/>
          </w:tcPr>
          <w:p>
            <w:pPr>
              <w:pStyle w:val="26"/>
              <w:numPr>
                <w:ilvl w:val="0"/>
                <w:numId w:val="2"/>
              </w:numPr>
              <w:spacing w:line="360" w:lineRule="auto"/>
              <w:jc w:val="center"/>
            </w:pPr>
          </w:p>
        </w:tc>
        <w:tc>
          <w:tcPr>
            <w:tcW w:w="7052"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lang w:val="en-GB"/>
              </w:rPr>
              <w:t>供应商应协助用户编写确认文件，并与我公司共同完成安装/运行确认。</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lang w:val="en-GB"/>
              </w:rPr>
              <w:t>供方提供安装图纸、机器维护手册、操作手册、证书等文件。</w:t>
            </w:r>
          </w:p>
        </w:tc>
        <w:tc>
          <w:tcPr>
            <w:tcW w:w="118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lang w:val="en-GB"/>
              </w:rPr>
              <w:t>供应商应负责用户在工厂验收期间的食宿安排。</w:t>
            </w:r>
          </w:p>
        </w:tc>
        <w:tc>
          <w:tcPr>
            <w:tcW w:w="118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bl>
    <w:p>
      <w:pPr>
        <w:pStyle w:val="7"/>
      </w:pPr>
    </w:p>
    <w:p>
      <w:pPr>
        <w:pStyle w:val="4"/>
        <w:spacing w:before="120" w:after="120" w:line="360" w:lineRule="auto"/>
        <w:jc w:val="both"/>
        <w:rPr>
          <w:rFonts w:ascii="宋体" w:hAnsi="宋体" w:eastAsia="宋体"/>
          <w:szCs w:val="24"/>
          <w:lang w:eastAsia="zh-CN"/>
        </w:rPr>
      </w:pPr>
      <w:r>
        <w:rPr>
          <w:rFonts w:ascii="宋体" w:hAnsi="宋体" w:eastAsia="宋体"/>
          <w:szCs w:val="24"/>
          <w:lang w:val="en-US" w:eastAsia="zh-CN"/>
        </w:rPr>
        <w:t>7</w:t>
      </w:r>
      <w:r>
        <w:rPr>
          <w:rFonts w:hint="eastAsia" w:ascii="宋体" w:hAnsi="宋体" w:eastAsia="宋体"/>
          <w:szCs w:val="24"/>
          <w:lang w:eastAsia="zh-CN"/>
        </w:rPr>
        <w:t>服务要求</w:t>
      </w: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.1交货要求</w:t>
      </w:r>
    </w:p>
    <w:tbl>
      <w:tblPr>
        <w:tblStyle w:val="13"/>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11"/>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93" w:type="dxa"/>
            <w:shd w:val="pct20" w:color="auto" w:fill="FFFFFF"/>
            <w:vAlign w:val="center"/>
          </w:tcPr>
          <w:p>
            <w:pPr>
              <w:spacing w:line="360" w:lineRule="auto"/>
              <w:jc w:val="center"/>
              <w:rPr>
                <w:b/>
              </w:rPr>
            </w:pPr>
            <w:r>
              <w:rPr>
                <w:rFonts w:hint="eastAsia"/>
                <w:b/>
              </w:rPr>
              <w:t>序号</w:t>
            </w:r>
          </w:p>
        </w:tc>
        <w:tc>
          <w:tcPr>
            <w:tcW w:w="7111" w:type="dxa"/>
            <w:shd w:val="pct20" w:color="auto" w:fill="FFFFFF"/>
            <w:vAlign w:val="center"/>
          </w:tcPr>
          <w:p>
            <w:pPr>
              <w:spacing w:line="360" w:lineRule="auto"/>
              <w:jc w:val="center"/>
              <w:rPr>
                <w:b/>
              </w:rPr>
            </w:pPr>
            <w:r>
              <w:rPr>
                <w:rFonts w:hint="eastAsia"/>
                <w:b/>
              </w:rPr>
              <w:t>要求内容</w:t>
            </w:r>
          </w:p>
        </w:tc>
        <w:tc>
          <w:tcPr>
            <w:tcW w:w="1196" w:type="dxa"/>
            <w:shd w:val="pct20" w:color="auto" w:fill="FFFFFF"/>
            <w:vAlign w:val="center"/>
          </w:tcPr>
          <w:p>
            <w:pPr>
              <w:spacing w:line="360" w:lineRule="auto"/>
              <w:jc w:val="center"/>
              <w:rPr>
                <w:rFonts w:ascii="宋体"/>
                <w:b/>
              </w:rPr>
            </w:pPr>
            <w:r>
              <w:rPr>
                <w:rFonts w:hint="eastAsia"/>
                <w:b/>
              </w:rPr>
              <w:t>必需/期望</w:t>
            </w:r>
          </w:p>
        </w:tc>
        <w:tc>
          <w:tcPr>
            <w:tcW w:w="889"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pPr>
              <w:pStyle w:val="26"/>
              <w:numPr>
                <w:ilvl w:val="0"/>
                <w:numId w:val="2"/>
              </w:numPr>
              <w:spacing w:line="360" w:lineRule="auto"/>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产品包装前，外露加工面应做防锈处理</w:t>
            </w:r>
          </w:p>
        </w:tc>
        <w:tc>
          <w:tcPr>
            <w:tcW w:w="1196"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pPr>
              <w:pStyle w:val="26"/>
              <w:numPr>
                <w:ilvl w:val="0"/>
                <w:numId w:val="2"/>
              </w:numPr>
              <w:spacing w:line="360" w:lineRule="auto"/>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交货期70天，运输时间包含在供货周期内。</w:t>
            </w:r>
          </w:p>
        </w:tc>
        <w:tc>
          <w:tcPr>
            <w:tcW w:w="1196"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vAlign w:val="center"/>
          </w:tcPr>
          <w:p>
            <w:pPr>
              <w:pStyle w:val="26"/>
              <w:numPr>
                <w:ilvl w:val="0"/>
                <w:numId w:val="2"/>
              </w:numPr>
              <w:spacing w:line="360" w:lineRule="auto"/>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产品包装箱应牢固可靠，适合运输装卸的要求</w:t>
            </w:r>
          </w:p>
        </w:tc>
        <w:tc>
          <w:tcPr>
            <w:tcW w:w="1196"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包装箱应有可靠的防潮措施</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产品运输过程中应小心轻放，不允许倒置和碰撞</w:t>
            </w:r>
            <w:r>
              <w:rPr>
                <w:rFonts w:hint="eastAsia" w:ascii="宋体" w:hAnsi="宋体" w:cs="宋体"/>
                <w:sz w:val="24"/>
                <w:szCs w:val="24"/>
              </w:rPr>
              <w:t>，由于运输过程的损失由供应商承担全部损失。</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提供可满足设备正常运转两年的备品备件（不包含质保期内）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设备、随机专用工具及易损件应加以包装并固定在包装箱内。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技术文件应妥善包装在包装箱内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包装箱应清晰标出发货及运输作业标志</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设备应储存于干燥通风的场所</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制造厂应保证产品一年内不致因包装不良引起锈蚀、霉损</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运输时间包含在供货周期内，供方负责运输，并承担运输费用</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rPr>
              <w:t>机器到货清单必须详列每装箱内物品明细</w:t>
            </w:r>
          </w:p>
        </w:tc>
        <w:tc>
          <w:tcPr>
            <w:tcW w:w="1196"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bl>
    <w:p>
      <w:pPr>
        <w:spacing w:line="360" w:lineRule="auto"/>
        <w:rPr>
          <w:lang w:val="en-GB"/>
        </w:rPr>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.2设备安装与培训</w:t>
      </w:r>
    </w:p>
    <w:tbl>
      <w:tblPr>
        <w:tblStyle w:val="13"/>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6939"/>
        <w:gridCol w:w="118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40" w:type="dxa"/>
            <w:shd w:val="pct20" w:color="auto" w:fill="FFFFFF"/>
            <w:vAlign w:val="center"/>
          </w:tcPr>
          <w:p>
            <w:pPr>
              <w:spacing w:line="360" w:lineRule="auto"/>
              <w:jc w:val="center"/>
              <w:rPr>
                <w:b/>
                <w:color w:val="000000"/>
              </w:rPr>
            </w:pPr>
            <w:r>
              <w:rPr>
                <w:rFonts w:hint="eastAsia"/>
                <w:b/>
                <w:color w:val="000000"/>
              </w:rPr>
              <w:t>序号</w:t>
            </w:r>
          </w:p>
        </w:tc>
        <w:tc>
          <w:tcPr>
            <w:tcW w:w="6939" w:type="dxa"/>
            <w:shd w:val="pct20" w:color="auto" w:fill="FFFFFF"/>
            <w:vAlign w:val="center"/>
          </w:tcPr>
          <w:p>
            <w:pPr>
              <w:spacing w:line="360" w:lineRule="auto"/>
              <w:jc w:val="center"/>
              <w:rPr>
                <w:b/>
                <w:color w:val="000000"/>
              </w:rPr>
            </w:pPr>
            <w:r>
              <w:rPr>
                <w:rFonts w:hint="eastAsia"/>
                <w:b/>
                <w:color w:val="000000"/>
              </w:rPr>
              <w:t>要求内容</w:t>
            </w:r>
          </w:p>
        </w:tc>
        <w:tc>
          <w:tcPr>
            <w:tcW w:w="1180" w:type="dxa"/>
            <w:shd w:val="pct20" w:color="auto" w:fill="FFFFFF"/>
            <w:vAlign w:val="center"/>
          </w:tcPr>
          <w:p>
            <w:pPr>
              <w:spacing w:line="360" w:lineRule="auto"/>
              <w:jc w:val="center"/>
              <w:rPr>
                <w:rFonts w:ascii="宋体"/>
                <w:b/>
                <w:color w:val="000000"/>
              </w:rPr>
            </w:pPr>
            <w:r>
              <w:rPr>
                <w:rFonts w:hint="eastAsia"/>
                <w:b/>
              </w:rPr>
              <w:t>必需/期望</w:t>
            </w:r>
          </w:p>
        </w:tc>
        <w:tc>
          <w:tcPr>
            <w:tcW w:w="905" w:type="dxa"/>
            <w:shd w:val="pct20" w:color="auto" w:fill="FFFFFF"/>
            <w:vAlign w:val="center"/>
          </w:tcPr>
          <w:p>
            <w:pPr>
              <w:spacing w:line="360" w:lineRule="auto"/>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Align w:val="center"/>
          </w:tcPr>
          <w:p>
            <w:pPr>
              <w:pStyle w:val="26"/>
              <w:numPr>
                <w:ilvl w:val="0"/>
                <w:numId w:val="2"/>
              </w:numPr>
              <w:spacing w:line="360" w:lineRule="auto"/>
              <w:jc w:val="center"/>
            </w:pPr>
          </w:p>
        </w:tc>
        <w:tc>
          <w:tcPr>
            <w:tcW w:w="6939" w:type="dxa"/>
            <w:vAlign w:val="center"/>
          </w:tcPr>
          <w:p>
            <w:pPr>
              <w:spacing w:line="360" w:lineRule="auto"/>
              <w:rPr>
                <w:rFonts w:ascii="宋体" w:hAnsi="宋体" w:cs="宋体"/>
                <w:sz w:val="24"/>
                <w:szCs w:val="24"/>
                <w:lang w:val="en-GB"/>
              </w:rPr>
            </w:pPr>
            <w:r>
              <w:rPr>
                <w:rFonts w:hint="eastAsia" w:ascii="宋体" w:hAnsi="宋体" w:cs="宋体"/>
                <w:sz w:val="24"/>
                <w:szCs w:val="24"/>
                <w:lang w:bidi="th-TH"/>
              </w:rPr>
              <w:t>供应商负责将用户订购设备运送至用户厂内，搬运、吊装、定位工作须指派技术人员进行现场指导。</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Align w:val="center"/>
          </w:tcPr>
          <w:p>
            <w:pPr>
              <w:pStyle w:val="26"/>
              <w:numPr>
                <w:ilvl w:val="0"/>
                <w:numId w:val="2"/>
              </w:numPr>
              <w:spacing w:line="360" w:lineRule="auto"/>
              <w:jc w:val="center"/>
              <w:rPr>
                <w:rFonts w:ascii="宋体" w:hAnsi="宋体" w:cs="宋体"/>
                <w:lang w:bidi="th-TH"/>
              </w:rPr>
            </w:pPr>
          </w:p>
        </w:tc>
        <w:tc>
          <w:tcPr>
            <w:tcW w:w="6939" w:type="dxa"/>
            <w:vAlign w:val="center"/>
          </w:tcPr>
          <w:p>
            <w:pPr>
              <w:spacing w:line="360" w:lineRule="auto"/>
              <w:rPr>
                <w:rFonts w:ascii="宋体" w:hAnsi="宋体" w:cs="宋体"/>
                <w:sz w:val="24"/>
                <w:szCs w:val="24"/>
              </w:rPr>
            </w:pPr>
            <w:r>
              <w:rPr>
                <w:rFonts w:hint="eastAsia" w:ascii="宋体" w:hAnsi="宋体" w:cs="宋体"/>
                <w:sz w:val="24"/>
                <w:szCs w:val="24"/>
                <w:lang w:bidi="th-TH"/>
              </w:rPr>
              <w:t>设备到货拆箱时供应商应陪同现场人员进行拆箱，如供应商授权本公司自行拆箱，拆箱后如发现设备及其附件有任何损坏、缺少，供应商负全责。</w:t>
            </w:r>
          </w:p>
        </w:tc>
        <w:tc>
          <w:tcPr>
            <w:tcW w:w="1180" w:type="dxa"/>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05"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Align w:val="center"/>
          </w:tcPr>
          <w:p>
            <w:pPr>
              <w:pStyle w:val="26"/>
              <w:numPr>
                <w:ilvl w:val="0"/>
                <w:numId w:val="2"/>
              </w:numPr>
              <w:spacing w:line="360" w:lineRule="auto"/>
              <w:jc w:val="center"/>
            </w:pPr>
          </w:p>
        </w:tc>
        <w:tc>
          <w:tcPr>
            <w:tcW w:w="6939"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机器订购后供应商须负责到货运送、安装，安装期间供应商至少有一人全程配合</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Align w:val="center"/>
          </w:tcPr>
          <w:p>
            <w:pPr>
              <w:pStyle w:val="26"/>
              <w:numPr>
                <w:ilvl w:val="0"/>
                <w:numId w:val="2"/>
              </w:numPr>
              <w:spacing w:line="360" w:lineRule="auto"/>
              <w:jc w:val="center"/>
            </w:pPr>
          </w:p>
        </w:tc>
        <w:tc>
          <w:tcPr>
            <w:tcW w:w="6939"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机器到货运送、安装、调试至完成由供应商负责，我方提供必要协助</w:t>
            </w:r>
          </w:p>
        </w:tc>
        <w:tc>
          <w:tcPr>
            <w:tcW w:w="118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69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机器到货，我公司通知供应商来厂安装日期起，应在10日内完成安装、试车。调试人员费用由供方承担</w:t>
            </w:r>
          </w:p>
        </w:tc>
        <w:tc>
          <w:tcPr>
            <w:tcW w:w="118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69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安装、调试、试运期间试车零件异常或损坏更换等寄送费用，由供应商负责</w:t>
            </w:r>
          </w:p>
        </w:tc>
        <w:tc>
          <w:tcPr>
            <w:tcW w:w="118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69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供应商进场施工须遵守需方施工规则施工</w:t>
            </w:r>
          </w:p>
        </w:tc>
        <w:tc>
          <w:tcPr>
            <w:tcW w:w="118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69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提供专门的培训材料，包括工作原理、设备结构、操作方法、注意事项、维保内容、维修内容等</w:t>
            </w:r>
          </w:p>
        </w:tc>
        <w:tc>
          <w:tcPr>
            <w:tcW w:w="118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6939"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rPr>
                <w:rFonts w:ascii="宋体" w:hAnsi="宋体"/>
                <w:color w:val="000000"/>
                <w:lang w:val="en-GB" w:eastAsia="zh-CN"/>
              </w:rPr>
            </w:pPr>
            <w:r>
              <w:rPr>
                <w:rFonts w:hint="eastAsia" w:ascii="宋体" w:hAnsi="宋体"/>
                <w:color w:val="000000"/>
                <w:lang w:eastAsia="zh-CN"/>
              </w:rPr>
              <w:t>供方</w:t>
            </w:r>
            <w:r>
              <w:rPr>
                <w:rFonts w:ascii="宋体" w:hAnsi="宋体"/>
                <w:color w:val="000000"/>
                <w:lang w:eastAsia="zh-CN"/>
              </w:rPr>
              <w:t>负责</w:t>
            </w:r>
            <w:r>
              <w:rPr>
                <w:rFonts w:hint="eastAsia" w:ascii="宋体" w:hAnsi="宋体"/>
                <w:color w:val="000000"/>
                <w:lang w:eastAsia="zh-CN"/>
              </w:rPr>
              <w:t>对需方</w:t>
            </w:r>
            <w:r>
              <w:rPr>
                <w:rFonts w:ascii="宋体" w:hAnsi="宋体"/>
                <w:color w:val="000000"/>
                <w:lang w:eastAsia="zh-CN"/>
              </w:rPr>
              <w:t>人员培训，</w:t>
            </w:r>
            <w:r>
              <w:rPr>
                <w:rFonts w:hint="eastAsia" w:ascii="宋体" w:hAnsi="宋体"/>
                <w:color w:val="000000"/>
                <w:lang w:eastAsia="zh-CN"/>
              </w:rPr>
              <w:t>培训内容包括：综合培训（掌握设备理论知识）和现场培训（设备实践操作知识），负责对我司技术管理人员、操作人员、维修人员进行结构原理、性能、操作、维修、维护、故障排除及问题解答等基本知识进行培训，使我方人员达到一定熟练度</w:t>
            </w:r>
            <w:r>
              <w:rPr>
                <w:rFonts w:ascii="宋体" w:hAnsi="宋体"/>
                <w:color w:val="000000"/>
                <w:lang w:eastAsia="zh-CN"/>
              </w:rPr>
              <w:t>，</w:t>
            </w:r>
            <w:r>
              <w:rPr>
                <w:rFonts w:hint="eastAsia" w:ascii="宋体" w:hAnsi="宋体" w:cs="Arial"/>
                <w:bCs/>
                <w:caps/>
                <w:color w:val="000000"/>
                <w:szCs w:val="24"/>
                <w:lang w:val="en-GB" w:eastAsia="zh-CN"/>
              </w:rPr>
              <w:t>能够独立正确操作设备，并能排除常见</w:t>
            </w:r>
            <w:r>
              <w:rPr>
                <w:rFonts w:hint="eastAsia" w:ascii="宋体" w:hAnsi="宋体"/>
                <w:color w:val="000000"/>
                <w:lang w:val="en-GB" w:eastAsia="zh-CN"/>
              </w:rPr>
              <w:t>故障。具体培训内容如下：</w:t>
            </w:r>
          </w:p>
          <w:p>
            <w:pPr>
              <w:pStyle w:val="24"/>
              <w:spacing w:before="0" w:line="360" w:lineRule="auto"/>
              <w:rPr>
                <w:rFonts w:ascii="宋体" w:hAnsi="宋体"/>
                <w:color w:val="000000"/>
                <w:lang w:val="en-GB" w:eastAsia="zh-CN"/>
              </w:rPr>
            </w:pPr>
            <w:r>
              <w:rPr>
                <w:rFonts w:hint="eastAsia" w:ascii="宋体" w:hAnsi="宋体"/>
                <w:color w:val="000000"/>
                <w:lang w:val="en-GB" w:eastAsia="zh-CN"/>
              </w:rPr>
              <w:t xml:space="preserve">--- 设备的基本组成，了解各组成部分的技术，设备原理和性能； </w:t>
            </w:r>
          </w:p>
          <w:p>
            <w:pPr>
              <w:pStyle w:val="24"/>
              <w:spacing w:before="0" w:line="360" w:lineRule="auto"/>
              <w:rPr>
                <w:rFonts w:ascii="宋体" w:hAnsi="宋体"/>
                <w:color w:val="000000"/>
                <w:lang w:val="en-GB" w:eastAsia="zh-CN"/>
              </w:rPr>
            </w:pPr>
            <w:r>
              <w:rPr>
                <w:rFonts w:hint="eastAsia" w:ascii="宋体" w:hAnsi="宋体"/>
                <w:color w:val="000000"/>
                <w:lang w:val="en-GB" w:eastAsia="zh-CN"/>
              </w:rPr>
              <w:t xml:space="preserve">--- 设备主要部件的装配和拆卸，内部结构； </w:t>
            </w:r>
          </w:p>
          <w:p>
            <w:pPr>
              <w:pStyle w:val="24"/>
              <w:spacing w:before="0" w:line="360" w:lineRule="auto"/>
              <w:rPr>
                <w:rFonts w:ascii="宋体" w:hAnsi="宋体"/>
                <w:color w:val="000000"/>
                <w:lang w:val="en-GB" w:eastAsia="zh-CN"/>
              </w:rPr>
            </w:pPr>
            <w:r>
              <w:rPr>
                <w:rFonts w:hint="eastAsia" w:ascii="宋体" w:hAnsi="宋体"/>
                <w:color w:val="000000"/>
                <w:lang w:val="en-GB" w:eastAsia="zh-CN"/>
              </w:rPr>
              <w:t xml:space="preserve">--- 设备的日常维护； </w:t>
            </w:r>
          </w:p>
          <w:p>
            <w:pPr>
              <w:pStyle w:val="24"/>
              <w:spacing w:before="0" w:line="360" w:lineRule="auto"/>
              <w:rPr>
                <w:rFonts w:ascii="宋体" w:hAnsi="宋体"/>
                <w:color w:val="000000"/>
                <w:lang w:val="en-GB" w:eastAsia="zh-CN"/>
              </w:rPr>
            </w:pPr>
            <w:r>
              <w:rPr>
                <w:rFonts w:hint="eastAsia" w:ascii="宋体" w:hAnsi="宋体"/>
                <w:color w:val="000000"/>
                <w:lang w:val="en-GB" w:eastAsia="zh-CN"/>
              </w:rPr>
              <w:t xml:space="preserve">--- 设备的故障分析方法与解决步骤； </w:t>
            </w:r>
          </w:p>
          <w:p>
            <w:pPr>
              <w:pStyle w:val="24"/>
              <w:spacing w:before="0" w:line="360" w:lineRule="auto"/>
              <w:rPr>
                <w:rFonts w:ascii="宋体" w:hAnsi="宋体"/>
                <w:color w:val="000000"/>
                <w:lang w:val="en-GB" w:eastAsia="zh-CN"/>
              </w:rPr>
            </w:pPr>
            <w:r>
              <w:rPr>
                <w:rFonts w:hint="eastAsia" w:ascii="宋体" w:hAnsi="宋体"/>
                <w:color w:val="000000"/>
                <w:lang w:val="en-GB" w:eastAsia="zh-CN"/>
              </w:rPr>
              <w:t>--- 提供设备专用数据传输线缆，包含程序备份光盘；</w:t>
            </w:r>
          </w:p>
          <w:p>
            <w:pPr>
              <w:pStyle w:val="24"/>
              <w:spacing w:before="0" w:line="360" w:lineRule="auto"/>
              <w:rPr>
                <w:rFonts w:ascii="宋体" w:hAnsi="宋体"/>
                <w:color w:val="000000"/>
                <w:lang w:val="en-GB" w:eastAsia="zh-CN"/>
              </w:rPr>
            </w:pPr>
            <w:r>
              <w:rPr>
                <w:rFonts w:hint="eastAsia" w:ascii="宋体" w:hAnsi="宋体"/>
                <w:color w:val="000000"/>
                <w:lang w:val="en-GB" w:eastAsia="zh-CN"/>
              </w:rPr>
              <w:t>--- 主程序和触摸屏的导出导入操作培训；</w:t>
            </w:r>
          </w:p>
          <w:p>
            <w:pPr>
              <w:pStyle w:val="24"/>
              <w:spacing w:before="0" w:line="360" w:lineRule="auto"/>
              <w:rPr>
                <w:rFonts w:ascii="宋体" w:hAnsi="宋体" w:cs="宋体"/>
                <w:szCs w:val="24"/>
                <w:lang w:val="en-GB" w:eastAsia="zh-CN"/>
              </w:rPr>
            </w:pPr>
            <w:r>
              <w:rPr>
                <w:rFonts w:hint="eastAsia" w:ascii="宋体" w:hAnsi="宋体"/>
                <w:color w:val="000000"/>
                <w:lang w:val="en-GB" w:eastAsia="zh-CN"/>
              </w:rPr>
              <w:t>--- 提供设备润滑点分布标示图纸。注明每个加油点的机油有关信息、每次加油量、加油周期。</w:t>
            </w:r>
          </w:p>
        </w:tc>
        <w:tc>
          <w:tcPr>
            <w:tcW w:w="118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pPr>
          </w:p>
        </w:tc>
        <w:tc>
          <w:tcPr>
            <w:tcW w:w="69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负责对技术管理人员、操作人员、维修人员进行结构原理、性能、操作、维护等基本知识的培训，使需方人员掌握，直至工人能熟练操作后由双方人员认可，旅程费、食宿用由供应商自理</w:t>
            </w:r>
          </w:p>
        </w:tc>
        <w:tc>
          <w:tcPr>
            <w:tcW w:w="1180"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bl>
    <w:p>
      <w:pPr>
        <w:spacing w:line="360" w:lineRule="auto"/>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.3</w:t>
      </w:r>
      <w:r>
        <w:rPr>
          <w:rFonts w:hint="eastAsia"/>
        </w:rPr>
        <w:t xml:space="preserve"> </w:t>
      </w:r>
      <w:r>
        <w:rPr>
          <w:rFonts w:hint="eastAsia" w:ascii="宋体" w:hAnsi="宋体" w:eastAsia="宋体" w:cs="Arial"/>
          <w:b w:val="0"/>
          <w:bCs w:val="0"/>
          <w:sz w:val="24"/>
          <w:szCs w:val="24"/>
          <w:lang w:val="en-GB"/>
        </w:rPr>
        <w:t>SAT要求</w:t>
      </w:r>
    </w:p>
    <w:tbl>
      <w:tblPr>
        <w:tblStyle w:val="13"/>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6790"/>
        <w:gridCol w:w="120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32" w:type="dxa"/>
            <w:shd w:val="pct20" w:color="auto" w:fill="FFFFFF"/>
            <w:vAlign w:val="center"/>
          </w:tcPr>
          <w:p>
            <w:pPr>
              <w:spacing w:line="360" w:lineRule="auto"/>
              <w:jc w:val="center"/>
              <w:rPr>
                <w:b/>
                <w:color w:val="000000"/>
              </w:rPr>
            </w:pPr>
            <w:r>
              <w:rPr>
                <w:rFonts w:hint="eastAsia"/>
                <w:b/>
                <w:color w:val="000000"/>
              </w:rPr>
              <w:t>序号</w:t>
            </w:r>
          </w:p>
        </w:tc>
        <w:tc>
          <w:tcPr>
            <w:tcW w:w="6790" w:type="dxa"/>
            <w:shd w:val="pct20" w:color="auto" w:fill="FFFFFF"/>
            <w:vAlign w:val="center"/>
          </w:tcPr>
          <w:p>
            <w:pPr>
              <w:spacing w:line="360" w:lineRule="auto"/>
              <w:jc w:val="center"/>
              <w:rPr>
                <w:b/>
                <w:color w:val="000000"/>
              </w:rPr>
            </w:pPr>
            <w:r>
              <w:rPr>
                <w:rFonts w:hint="eastAsia"/>
                <w:b/>
                <w:color w:val="000000"/>
              </w:rPr>
              <w:t>要求</w:t>
            </w:r>
          </w:p>
        </w:tc>
        <w:tc>
          <w:tcPr>
            <w:tcW w:w="1200" w:type="dxa"/>
            <w:shd w:val="pct20" w:color="auto" w:fill="FFFFFF"/>
            <w:vAlign w:val="center"/>
          </w:tcPr>
          <w:p>
            <w:pPr>
              <w:spacing w:line="360" w:lineRule="auto"/>
              <w:jc w:val="center"/>
              <w:rPr>
                <w:color w:val="000000"/>
              </w:rPr>
            </w:pPr>
            <w:r>
              <w:rPr>
                <w:rFonts w:hint="eastAsia"/>
                <w:b/>
              </w:rPr>
              <w:t>必需/期望</w:t>
            </w:r>
          </w:p>
        </w:tc>
        <w:tc>
          <w:tcPr>
            <w:tcW w:w="1026" w:type="dxa"/>
            <w:shd w:val="pct20" w:color="auto" w:fill="FFFFFF"/>
            <w:vAlign w:val="center"/>
          </w:tcPr>
          <w:p>
            <w:pPr>
              <w:spacing w:line="360" w:lineRule="auto"/>
              <w:ind w:firstLine="211" w:firstLineChars="100"/>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2" w:type="dxa"/>
            <w:vAlign w:val="center"/>
          </w:tcPr>
          <w:p>
            <w:pPr>
              <w:pStyle w:val="26"/>
              <w:numPr>
                <w:ilvl w:val="0"/>
                <w:numId w:val="2"/>
              </w:numPr>
              <w:spacing w:line="360" w:lineRule="auto"/>
              <w:jc w:val="center"/>
            </w:pPr>
          </w:p>
        </w:tc>
        <w:tc>
          <w:tcPr>
            <w:tcW w:w="6790" w:type="dxa"/>
            <w:vAlign w:val="center"/>
          </w:tcPr>
          <w:p>
            <w:pPr>
              <w:spacing w:line="360" w:lineRule="auto"/>
              <w:rPr>
                <w:rFonts w:ascii="宋体" w:hAnsi="宋体" w:cs="宋体"/>
                <w:sz w:val="24"/>
                <w:szCs w:val="24"/>
                <w:lang w:val="en-GB" w:bidi="th-TH"/>
              </w:rPr>
            </w:pPr>
            <w:r>
              <w:rPr>
                <w:rFonts w:hint="eastAsia" w:ascii="宋体" w:hAnsi="宋体" w:cs="宋体"/>
                <w:sz w:val="24"/>
                <w:szCs w:val="24"/>
                <w:lang w:bidi="th-TH"/>
              </w:rPr>
              <w:t>卖方保证所供货物全新未曾使用过。</w:t>
            </w:r>
          </w:p>
        </w:tc>
        <w:tc>
          <w:tcPr>
            <w:tcW w:w="1200" w:type="dxa"/>
            <w:vAlign w:val="center"/>
          </w:tcPr>
          <w:p>
            <w:pPr>
              <w:pStyle w:val="24"/>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26"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2" w:type="dxa"/>
            <w:vAlign w:val="center"/>
          </w:tcPr>
          <w:p>
            <w:pPr>
              <w:pStyle w:val="26"/>
              <w:numPr>
                <w:ilvl w:val="0"/>
                <w:numId w:val="2"/>
              </w:numPr>
              <w:spacing w:line="360" w:lineRule="auto"/>
              <w:jc w:val="center"/>
              <w:rPr>
                <w:rFonts w:ascii="宋体" w:hAnsi="宋体" w:cs="宋体"/>
                <w:lang w:bidi="th-TH"/>
              </w:rPr>
            </w:pPr>
          </w:p>
        </w:tc>
        <w:tc>
          <w:tcPr>
            <w:tcW w:w="6790" w:type="dxa"/>
            <w:vAlign w:val="center"/>
          </w:tcPr>
          <w:p>
            <w:pPr>
              <w:spacing w:line="360" w:lineRule="auto"/>
              <w:rPr>
                <w:rFonts w:ascii="宋体" w:hAnsi="宋体" w:cs="宋体"/>
                <w:sz w:val="24"/>
                <w:szCs w:val="24"/>
                <w:lang w:bidi="th-TH"/>
              </w:rPr>
            </w:pPr>
            <w:r>
              <w:rPr>
                <w:rFonts w:hint="eastAsia" w:ascii="宋体" w:hAnsi="宋体" w:cs="宋体"/>
                <w:sz w:val="24"/>
                <w:szCs w:val="24"/>
                <w:lang w:bidi="th-TH"/>
              </w:rPr>
              <w:t>供应商应协助用户编写设备的SAT文件。</w:t>
            </w:r>
          </w:p>
        </w:tc>
        <w:tc>
          <w:tcPr>
            <w:tcW w:w="1200" w:type="dxa"/>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2" w:type="dxa"/>
            <w:vAlign w:val="center"/>
          </w:tcPr>
          <w:p>
            <w:pPr>
              <w:pStyle w:val="26"/>
              <w:numPr>
                <w:ilvl w:val="0"/>
                <w:numId w:val="2"/>
              </w:numPr>
              <w:spacing w:line="360" w:lineRule="auto"/>
              <w:jc w:val="center"/>
              <w:rPr>
                <w:rFonts w:ascii="宋体" w:hAnsi="宋体" w:cs="宋体"/>
                <w:lang w:bidi="th-TH"/>
              </w:rPr>
            </w:pPr>
          </w:p>
        </w:tc>
        <w:tc>
          <w:tcPr>
            <w:tcW w:w="6790" w:type="dxa"/>
            <w:vAlign w:val="center"/>
          </w:tcPr>
          <w:p>
            <w:pPr>
              <w:spacing w:line="360" w:lineRule="auto"/>
              <w:rPr>
                <w:rFonts w:ascii="宋体" w:hAnsi="宋体" w:cs="宋体"/>
                <w:sz w:val="24"/>
                <w:szCs w:val="24"/>
                <w:lang w:bidi="th-TH"/>
              </w:rPr>
            </w:pPr>
            <w:r>
              <w:rPr>
                <w:rFonts w:hint="eastAsia" w:ascii="宋体" w:hAnsi="宋体" w:cs="宋体"/>
                <w:sz w:val="24"/>
                <w:szCs w:val="24"/>
                <w:lang w:bidi="th-TH"/>
              </w:rPr>
              <w:t>按照供应商提供的设备安装要求和设备配置、技术性能等双方签约内容条逐项验收。</w:t>
            </w:r>
          </w:p>
        </w:tc>
        <w:tc>
          <w:tcPr>
            <w:tcW w:w="1200" w:type="dxa"/>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2" w:type="dxa"/>
            <w:vAlign w:val="center"/>
          </w:tcPr>
          <w:p>
            <w:pPr>
              <w:pStyle w:val="26"/>
              <w:numPr>
                <w:ilvl w:val="0"/>
                <w:numId w:val="2"/>
              </w:numPr>
              <w:spacing w:line="360" w:lineRule="auto"/>
              <w:jc w:val="center"/>
              <w:rPr>
                <w:rFonts w:ascii="宋体" w:hAnsi="宋体" w:cs="宋体"/>
                <w:lang w:bidi="th-TH"/>
              </w:rPr>
            </w:pPr>
          </w:p>
        </w:tc>
        <w:tc>
          <w:tcPr>
            <w:tcW w:w="6790" w:type="dxa"/>
            <w:vAlign w:val="center"/>
          </w:tcPr>
          <w:p>
            <w:pPr>
              <w:spacing w:line="360" w:lineRule="auto"/>
              <w:rPr>
                <w:rFonts w:ascii="宋体" w:hAnsi="宋体" w:cs="宋体"/>
                <w:sz w:val="24"/>
                <w:szCs w:val="24"/>
                <w:lang w:bidi="th-TH"/>
              </w:rPr>
            </w:pPr>
            <w:r>
              <w:rPr>
                <w:rFonts w:hint="eastAsia" w:ascii="宋体" w:hAnsi="宋体" w:cs="宋体"/>
                <w:sz w:val="24"/>
                <w:szCs w:val="24"/>
                <w:lang w:bidi="th-TH"/>
              </w:rPr>
              <w:t>设备调试完成后，供应商须派技术人员协同用户进行产品工艺验证。</w:t>
            </w:r>
          </w:p>
        </w:tc>
        <w:tc>
          <w:tcPr>
            <w:tcW w:w="1200" w:type="dxa"/>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2" w:type="dxa"/>
            <w:vAlign w:val="center"/>
          </w:tcPr>
          <w:p>
            <w:pPr>
              <w:pStyle w:val="26"/>
              <w:numPr>
                <w:ilvl w:val="0"/>
                <w:numId w:val="2"/>
              </w:numPr>
              <w:spacing w:line="360" w:lineRule="auto"/>
              <w:jc w:val="center"/>
              <w:rPr>
                <w:rFonts w:ascii="宋体" w:hAnsi="宋体" w:cs="宋体"/>
                <w:lang w:bidi="th-TH"/>
              </w:rPr>
            </w:pPr>
          </w:p>
        </w:tc>
        <w:tc>
          <w:tcPr>
            <w:tcW w:w="6790" w:type="dxa"/>
            <w:vAlign w:val="center"/>
          </w:tcPr>
          <w:p>
            <w:pPr>
              <w:spacing w:line="360" w:lineRule="auto"/>
              <w:rPr>
                <w:rFonts w:ascii="宋体" w:hAnsi="宋体" w:cs="宋体"/>
                <w:sz w:val="24"/>
                <w:szCs w:val="24"/>
                <w:lang w:bidi="th-TH"/>
              </w:rPr>
            </w:pPr>
            <w:r>
              <w:rPr>
                <w:rFonts w:hint="eastAsia" w:ascii="宋体" w:hAnsi="宋体" w:cs="宋体"/>
                <w:sz w:val="24"/>
                <w:szCs w:val="24"/>
                <w:lang w:bidi="th-TH"/>
              </w:rPr>
              <w:t>在设备就位后，供应商应负责设备调试工作，只有当设备完全符合上述工艺、设备、电气等条件且车间正常生产2天后方可离开。</w:t>
            </w:r>
          </w:p>
        </w:tc>
        <w:tc>
          <w:tcPr>
            <w:tcW w:w="1200" w:type="dxa"/>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4"/>
              <w:spacing w:before="0" w:line="360" w:lineRule="auto"/>
              <w:jc w:val="center"/>
              <w:rPr>
                <w:rFonts w:ascii="Arial" w:hAnsi="Arial"/>
                <w:sz w:val="20"/>
                <w:lang w:eastAsia="zh-CN"/>
              </w:rPr>
            </w:pPr>
          </w:p>
        </w:tc>
      </w:tr>
    </w:tbl>
    <w:p>
      <w:pPr>
        <w:pStyle w:val="5"/>
        <w:keepNext w:val="0"/>
        <w:spacing w:before="0" w:after="0" w:line="360" w:lineRule="auto"/>
        <w:rPr>
          <w:rFonts w:ascii="宋体" w:hAnsi="宋体" w:eastAsia="宋体" w:cs="Arial"/>
          <w:b w:val="0"/>
          <w:bCs w:val="0"/>
          <w:sz w:val="24"/>
          <w:szCs w:val="24"/>
        </w:rPr>
      </w:pPr>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.4售后要求</w:t>
      </w:r>
    </w:p>
    <w:tbl>
      <w:tblPr>
        <w:tblStyle w:val="13"/>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6817"/>
        <w:gridCol w:w="119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33" w:type="dxa"/>
            <w:shd w:val="pct20" w:color="auto" w:fill="FFFFFF"/>
            <w:vAlign w:val="center"/>
          </w:tcPr>
          <w:p>
            <w:pPr>
              <w:spacing w:line="360" w:lineRule="auto"/>
              <w:jc w:val="center"/>
              <w:rPr>
                <w:b/>
                <w:color w:val="000000"/>
              </w:rPr>
            </w:pPr>
            <w:r>
              <w:rPr>
                <w:rFonts w:hint="eastAsia"/>
                <w:b/>
                <w:color w:val="000000"/>
              </w:rPr>
              <w:t>序号</w:t>
            </w:r>
          </w:p>
        </w:tc>
        <w:tc>
          <w:tcPr>
            <w:tcW w:w="6817" w:type="dxa"/>
            <w:shd w:val="pct20" w:color="auto" w:fill="FFFFFF"/>
            <w:vAlign w:val="center"/>
          </w:tcPr>
          <w:p>
            <w:pPr>
              <w:spacing w:line="360" w:lineRule="auto"/>
              <w:jc w:val="center"/>
              <w:rPr>
                <w:b/>
                <w:color w:val="000000"/>
              </w:rPr>
            </w:pPr>
            <w:r>
              <w:rPr>
                <w:rFonts w:hint="eastAsia"/>
                <w:b/>
                <w:color w:val="000000"/>
              </w:rPr>
              <w:t>要求内容</w:t>
            </w:r>
          </w:p>
        </w:tc>
        <w:tc>
          <w:tcPr>
            <w:tcW w:w="1194" w:type="dxa"/>
            <w:shd w:val="pct20" w:color="auto" w:fill="FFFFFF"/>
            <w:vAlign w:val="center"/>
          </w:tcPr>
          <w:p>
            <w:pPr>
              <w:spacing w:line="360" w:lineRule="auto"/>
              <w:jc w:val="center"/>
              <w:rPr>
                <w:rFonts w:ascii="宋体"/>
                <w:b/>
                <w:color w:val="000000"/>
              </w:rPr>
            </w:pPr>
            <w:r>
              <w:rPr>
                <w:rFonts w:hint="eastAsia"/>
                <w:b/>
              </w:rPr>
              <w:t>必需/期望</w:t>
            </w:r>
          </w:p>
        </w:tc>
        <w:tc>
          <w:tcPr>
            <w:tcW w:w="1005" w:type="dxa"/>
            <w:shd w:val="pct20" w:color="auto" w:fill="FFFFFF"/>
            <w:vAlign w:val="center"/>
          </w:tcPr>
          <w:p>
            <w:pPr>
              <w:spacing w:line="360" w:lineRule="auto"/>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pPr>
              <w:pStyle w:val="26"/>
              <w:numPr>
                <w:ilvl w:val="0"/>
                <w:numId w:val="2"/>
              </w:numPr>
              <w:spacing w:line="360" w:lineRule="auto"/>
              <w:jc w:val="center"/>
            </w:pPr>
          </w:p>
        </w:tc>
        <w:tc>
          <w:tcPr>
            <w:tcW w:w="6817" w:type="dxa"/>
            <w:vAlign w:val="center"/>
          </w:tcPr>
          <w:p>
            <w:pPr>
              <w:spacing w:line="360" w:lineRule="auto"/>
              <w:rPr>
                <w:rFonts w:ascii="宋体" w:hAnsi="宋体" w:cs="宋体"/>
                <w:sz w:val="24"/>
                <w:szCs w:val="24"/>
                <w:lang w:val="en-GB"/>
              </w:rPr>
            </w:pPr>
            <w:r>
              <w:rPr>
                <w:rFonts w:hint="eastAsia" w:ascii="宋体" w:hAnsi="宋体" w:cs="宋体"/>
                <w:sz w:val="24"/>
                <w:szCs w:val="24"/>
              </w:rPr>
              <w:t>质保期内，供应商应免费随机提供1年内设备所需易损件和消耗品，提供检修所用专用工具1套。</w:t>
            </w:r>
          </w:p>
        </w:tc>
        <w:tc>
          <w:tcPr>
            <w:tcW w:w="1194" w:type="dxa"/>
            <w:vAlign w:val="center"/>
          </w:tcPr>
          <w:p>
            <w:pPr>
              <w:pStyle w:val="24"/>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1005"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pPr>
              <w:pStyle w:val="26"/>
              <w:numPr>
                <w:ilvl w:val="0"/>
                <w:numId w:val="2"/>
              </w:numPr>
              <w:spacing w:line="360" w:lineRule="auto"/>
              <w:jc w:val="center"/>
              <w:rPr>
                <w:rFonts w:ascii="宋体" w:hAnsi="宋体" w:cs="宋体"/>
                <w:lang w:bidi="th-TH"/>
              </w:rPr>
            </w:pPr>
          </w:p>
        </w:tc>
        <w:tc>
          <w:tcPr>
            <w:tcW w:w="6817" w:type="dxa"/>
            <w:vAlign w:val="center"/>
          </w:tcPr>
          <w:p>
            <w:pPr>
              <w:spacing w:line="360" w:lineRule="auto"/>
              <w:rPr>
                <w:rFonts w:ascii="宋体" w:hAnsi="宋体" w:cs="宋体"/>
                <w:sz w:val="24"/>
                <w:szCs w:val="24"/>
              </w:rPr>
            </w:pPr>
            <w:r>
              <w:rPr>
                <w:rFonts w:hint="eastAsia" w:ascii="宋体" w:hAnsi="宋体" w:cs="宋体"/>
                <w:sz w:val="24"/>
                <w:szCs w:val="24"/>
              </w:rPr>
              <w:t>供应商应预先准备好充足备件（主要零配件、易损件、各种规格件），便于需方及时采购。</w:t>
            </w:r>
          </w:p>
        </w:tc>
        <w:tc>
          <w:tcPr>
            <w:tcW w:w="1194" w:type="dxa"/>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pPr>
              <w:pStyle w:val="26"/>
              <w:numPr>
                <w:ilvl w:val="0"/>
                <w:numId w:val="2"/>
              </w:numPr>
              <w:spacing w:line="360" w:lineRule="auto"/>
              <w:jc w:val="center"/>
              <w:rPr>
                <w:rFonts w:ascii="宋体" w:hAnsi="宋体" w:cs="宋体"/>
                <w:lang w:bidi="th-TH"/>
              </w:rPr>
            </w:pPr>
          </w:p>
        </w:tc>
        <w:tc>
          <w:tcPr>
            <w:tcW w:w="6817" w:type="dxa"/>
            <w:vAlign w:val="center"/>
          </w:tcPr>
          <w:p>
            <w:pPr>
              <w:spacing w:line="360" w:lineRule="auto"/>
              <w:rPr>
                <w:rFonts w:ascii="宋体" w:hAnsi="宋体" w:cs="宋体"/>
                <w:sz w:val="24"/>
                <w:szCs w:val="24"/>
              </w:rPr>
            </w:pPr>
            <w:r>
              <w:rPr>
                <w:rFonts w:hint="eastAsia" w:ascii="宋体" w:hAnsi="宋体" w:cs="宋体"/>
                <w:sz w:val="24"/>
                <w:szCs w:val="24"/>
              </w:rPr>
              <w:t>供应商应提供配套零部件设备厂家的联系方法，包括润滑油的品牌规格型号。</w:t>
            </w:r>
          </w:p>
        </w:tc>
        <w:tc>
          <w:tcPr>
            <w:tcW w:w="1194" w:type="dxa"/>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6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lang w:bidi="th-TH"/>
              </w:rPr>
            </w:pPr>
            <w:r>
              <w:rPr>
                <w:rFonts w:hint="eastAsia" w:ascii="宋体" w:hAnsi="宋体" w:cs="宋体"/>
                <w:sz w:val="24"/>
                <w:szCs w:val="24"/>
                <w:lang w:bidi="th-TH"/>
              </w:rPr>
              <w:t>质保期内，供应商在接到用户维修服务通知后须在2小时内回复，24小时内派相关服务人员到达现场解决问题，服务人员来往所需费用由供应商自理；质保期外48小时内派相关的服务工程师到达需方工作现场进行维护。</w:t>
            </w:r>
          </w:p>
        </w:tc>
        <w:tc>
          <w:tcPr>
            <w:tcW w:w="1194"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6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lang w:bidi="th-TH"/>
              </w:rPr>
            </w:pPr>
            <w:r>
              <w:rPr>
                <w:rFonts w:hint="eastAsia" w:ascii="宋体" w:hAnsi="宋体" w:cs="宋体"/>
                <w:sz w:val="24"/>
                <w:szCs w:val="24"/>
                <w:lang w:bidi="th-TH"/>
              </w:rPr>
              <w:t>质保期内，非用户人为原因所造成的设备故障，需更换机械零部件及电子元器件等，供应商须无条件免费更换。质保期外，供应商应终身提供快速的备件供应。</w:t>
            </w:r>
          </w:p>
        </w:tc>
        <w:tc>
          <w:tcPr>
            <w:tcW w:w="1194"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6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提供设备备件清单及报价表。</w:t>
            </w:r>
          </w:p>
        </w:tc>
        <w:tc>
          <w:tcPr>
            <w:tcW w:w="1194"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jc w:val="center"/>
              <w:rPr>
                <w:rFonts w:ascii="宋体" w:hAnsi="宋体" w:cs="宋体"/>
                <w:lang w:bidi="th-TH"/>
              </w:rPr>
            </w:pPr>
          </w:p>
        </w:tc>
        <w:tc>
          <w:tcPr>
            <w:tcW w:w="6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设备及其配件应至少免费保修1年（附属设备根据相关行业保修期规定，保修期超过1年的按最长时效计算），有效期自安装试车完成验收日起。在此期间，供方需提供必要的维护保养。质保期满前，供应商须到现场作免费维护检修1次，保证设备仍然符合出厂标准。质保期外供应商免费提供专业技术人员每年定期回访对设备进行巡检。</w:t>
            </w:r>
            <w:r>
              <w:rPr>
                <w:rFonts w:hint="eastAsia" w:ascii="宋体" w:hAnsi="宋体" w:cs="宋体"/>
                <w:sz w:val="24"/>
                <w:szCs w:val="24"/>
                <w:lang w:bidi="th-TH"/>
              </w:rPr>
              <w:t>设备供应商提供长期的多维度技术咨询联系方式，如联系方式发生变更及时通知我公司相关联系人。</w:t>
            </w:r>
          </w:p>
        </w:tc>
        <w:tc>
          <w:tcPr>
            <w:tcW w:w="1194" w:type="dxa"/>
            <w:tcBorders>
              <w:top w:val="single" w:color="auto" w:sz="4" w:space="0"/>
              <w:left w:val="single" w:color="auto" w:sz="4" w:space="0"/>
              <w:bottom w:val="single" w:color="auto" w:sz="4" w:space="0"/>
              <w:right w:val="single" w:color="auto" w:sz="4" w:space="0"/>
            </w:tcBorders>
            <w:vAlign w:val="center"/>
          </w:tcPr>
          <w:p>
            <w:pPr>
              <w:pStyle w:val="24"/>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4"/>
              <w:spacing w:before="0" w:line="360" w:lineRule="auto"/>
              <w:jc w:val="center"/>
              <w:rPr>
                <w:rFonts w:ascii="Arial" w:hAnsi="Arial"/>
                <w:sz w:val="20"/>
                <w:lang w:eastAsia="zh-CN"/>
              </w:rPr>
            </w:pPr>
          </w:p>
        </w:tc>
      </w:tr>
    </w:tbl>
    <w:p>
      <w:pPr>
        <w:spacing w:line="360" w:lineRule="auto"/>
        <w:rPr>
          <w:lang w:val="en-GB"/>
        </w:rPr>
      </w:pPr>
      <w:bookmarkStart w:id="31" w:name="_Toc2473"/>
      <w:bookmarkStart w:id="32" w:name="_Toc18141"/>
      <w:bookmarkStart w:id="33" w:name="_Toc450905296"/>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.5</w:t>
      </w:r>
      <w:bookmarkEnd w:id="31"/>
      <w:bookmarkEnd w:id="32"/>
      <w:bookmarkEnd w:id="33"/>
      <w:r>
        <w:rPr>
          <w:rFonts w:hint="eastAsia" w:ascii="宋体" w:hAnsi="宋体" w:eastAsia="宋体" w:cs="Arial"/>
          <w:b w:val="0"/>
          <w:bCs w:val="0"/>
          <w:sz w:val="24"/>
          <w:szCs w:val="24"/>
          <w:lang w:val="en-GB"/>
        </w:rPr>
        <w:t>其它要求</w:t>
      </w:r>
    </w:p>
    <w:tbl>
      <w:tblPr>
        <w:tblStyle w:val="13"/>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905"/>
        <w:gridCol w:w="113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5" w:type="dxa"/>
            <w:shd w:val="pct20" w:color="auto" w:fill="FFFFFF"/>
            <w:vAlign w:val="center"/>
          </w:tcPr>
          <w:p>
            <w:pPr>
              <w:spacing w:line="360" w:lineRule="auto"/>
              <w:jc w:val="center"/>
              <w:rPr>
                <w:b/>
                <w:color w:val="000000"/>
              </w:rPr>
            </w:pPr>
            <w:r>
              <w:rPr>
                <w:rFonts w:hint="eastAsia"/>
                <w:b/>
                <w:color w:val="000000"/>
              </w:rPr>
              <w:t>序号</w:t>
            </w:r>
          </w:p>
        </w:tc>
        <w:tc>
          <w:tcPr>
            <w:tcW w:w="6905" w:type="dxa"/>
            <w:shd w:val="pct20" w:color="auto" w:fill="FFFFFF"/>
            <w:vAlign w:val="center"/>
          </w:tcPr>
          <w:p>
            <w:pPr>
              <w:spacing w:line="360" w:lineRule="auto"/>
              <w:jc w:val="center"/>
              <w:rPr>
                <w:b/>
                <w:color w:val="000000"/>
              </w:rPr>
            </w:pPr>
            <w:r>
              <w:rPr>
                <w:rFonts w:hint="eastAsia"/>
                <w:b/>
                <w:color w:val="000000"/>
              </w:rPr>
              <w:t>要求内容</w:t>
            </w:r>
          </w:p>
        </w:tc>
        <w:tc>
          <w:tcPr>
            <w:tcW w:w="1131" w:type="dxa"/>
            <w:shd w:val="pct20" w:color="auto" w:fill="FFFFFF"/>
            <w:vAlign w:val="center"/>
          </w:tcPr>
          <w:p>
            <w:pPr>
              <w:spacing w:line="360" w:lineRule="auto"/>
              <w:jc w:val="center"/>
              <w:rPr>
                <w:rFonts w:ascii="宋体"/>
                <w:b/>
                <w:color w:val="000000"/>
              </w:rPr>
            </w:pPr>
            <w:r>
              <w:rPr>
                <w:rFonts w:hint="eastAsia"/>
                <w:b/>
              </w:rPr>
              <w:t>必需/期望</w:t>
            </w:r>
          </w:p>
        </w:tc>
        <w:tc>
          <w:tcPr>
            <w:tcW w:w="1005" w:type="dxa"/>
            <w:shd w:val="pct20" w:color="auto" w:fill="FFFFFF"/>
            <w:vAlign w:val="center"/>
          </w:tcPr>
          <w:p>
            <w:pPr>
              <w:spacing w:line="360" w:lineRule="auto"/>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5" w:type="dxa"/>
            <w:vAlign w:val="center"/>
          </w:tcPr>
          <w:p>
            <w:pPr>
              <w:pStyle w:val="26"/>
              <w:numPr>
                <w:ilvl w:val="0"/>
                <w:numId w:val="2"/>
              </w:numPr>
              <w:spacing w:line="360" w:lineRule="auto"/>
              <w:jc w:val="center"/>
            </w:pPr>
          </w:p>
        </w:tc>
        <w:tc>
          <w:tcPr>
            <w:tcW w:w="6905" w:type="dxa"/>
          </w:tcPr>
          <w:p>
            <w:pPr>
              <w:spacing w:line="360" w:lineRule="auto"/>
              <w:rPr>
                <w:rFonts w:ascii="宋体" w:hAnsi="宋体" w:cs="宋体"/>
                <w:sz w:val="24"/>
                <w:szCs w:val="24"/>
                <w:lang w:val="en-GB" w:bidi="th-TH"/>
              </w:rPr>
            </w:pPr>
            <w:r>
              <w:rPr>
                <w:rFonts w:hint="eastAsia" w:ascii="宋体" w:hAnsi="宋体" w:cs="宋体"/>
                <w:sz w:val="24"/>
                <w:szCs w:val="24"/>
                <w:lang w:bidi="th-TH"/>
              </w:rPr>
              <w:t>本URS中规定内容、技术数据及文件资料等各大项中所提各项及要求供应商提供资料的，若有任何问题应于合同签订前书面告知我方，并在合约上说明，否则各项均列入设备到货验收时的依据。</w:t>
            </w:r>
          </w:p>
        </w:tc>
        <w:tc>
          <w:tcPr>
            <w:tcW w:w="1131" w:type="dxa"/>
            <w:vAlign w:val="center"/>
          </w:tcPr>
          <w:p>
            <w:pPr>
              <w:pStyle w:val="28"/>
              <w:tabs>
                <w:tab w:val="center" w:pos="2268"/>
                <w:tab w:val="right" w:pos="5387"/>
                <w:tab w:val="clear" w:pos="4820"/>
              </w:tabs>
              <w:spacing w:before="0" w:after="0" w:line="360" w:lineRule="auto"/>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75" w:type="dxa"/>
            <w:vAlign w:val="center"/>
          </w:tcPr>
          <w:p>
            <w:pPr>
              <w:pStyle w:val="26"/>
              <w:numPr>
                <w:ilvl w:val="0"/>
                <w:numId w:val="2"/>
              </w:numPr>
              <w:spacing w:line="360" w:lineRule="auto"/>
              <w:jc w:val="center"/>
            </w:pPr>
          </w:p>
        </w:tc>
        <w:tc>
          <w:tcPr>
            <w:tcW w:w="6905" w:type="dxa"/>
            <w:vAlign w:val="center"/>
          </w:tcPr>
          <w:p>
            <w:pPr>
              <w:spacing w:line="360" w:lineRule="auto"/>
              <w:rPr>
                <w:rFonts w:ascii="宋体" w:hAnsi="宋体" w:cs="宋体"/>
                <w:sz w:val="24"/>
                <w:szCs w:val="24"/>
                <w:lang w:bidi="th-TH"/>
              </w:rPr>
            </w:pPr>
            <w:r>
              <w:rPr>
                <w:rFonts w:hint="eastAsia" w:ascii="宋体" w:hAnsi="宋体" w:cs="宋体"/>
                <w:sz w:val="24"/>
                <w:szCs w:val="24"/>
                <w:lang w:bidi="th-TH"/>
              </w:rPr>
              <w:t>供应商在报价的技术参数中需要将所有公用工程接口列举清楚，若有列举不明之项目，发生费用则全部由供应商自己承担。</w:t>
            </w:r>
          </w:p>
        </w:tc>
        <w:tc>
          <w:tcPr>
            <w:tcW w:w="1131" w:type="dxa"/>
            <w:vAlign w:val="center"/>
          </w:tcPr>
          <w:p>
            <w:pPr>
              <w:pStyle w:val="28"/>
              <w:tabs>
                <w:tab w:val="center" w:pos="2268"/>
                <w:tab w:val="right" w:pos="5387"/>
                <w:tab w:val="clear" w:pos="4820"/>
              </w:tabs>
              <w:spacing w:before="0" w:after="0" w:line="360" w:lineRule="auto"/>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75" w:type="dxa"/>
            <w:vAlign w:val="center"/>
          </w:tcPr>
          <w:p>
            <w:pPr>
              <w:pStyle w:val="26"/>
              <w:numPr>
                <w:ilvl w:val="0"/>
                <w:numId w:val="2"/>
              </w:numPr>
              <w:spacing w:line="360" w:lineRule="auto"/>
              <w:jc w:val="center"/>
              <w:rPr>
                <w:rFonts w:ascii="宋体" w:hAnsi="宋体" w:cs="宋体"/>
                <w:lang w:bidi="th-TH"/>
              </w:rPr>
            </w:pPr>
          </w:p>
        </w:tc>
        <w:tc>
          <w:tcPr>
            <w:tcW w:w="6905" w:type="dxa"/>
            <w:vAlign w:val="center"/>
          </w:tcPr>
          <w:p>
            <w:pPr>
              <w:spacing w:line="360" w:lineRule="auto"/>
              <w:rPr>
                <w:rFonts w:ascii="宋体" w:hAnsi="宋体" w:cs="宋体"/>
                <w:sz w:val="24"/>
                <w:szCs w:val="24"/>
                <w:lang w:bidi="th-TH"/>
              </w:rPr>
            </w:pPr>
            <w:r>
              <w:rPr>
                <w:rFonts w:hint="eastAsia" w:ascii="宋体" w:hAnsi="宋体" w:cs="宋体"/>
                <w:sz w:val="24"/>
                <w:szCs w:val="24"/>
                <w:lang w:bidi="th-TH"/>
              </w:rPr>
              <w:t>软件文件（SOP、确认文件）0缺陷通过GMP检查，如出现缺陷项，需配合我公司进行整改，并提供基于风险评估后在设备设计中的降低风险措施</w:t>
            </w:r>
          </w:p>
        </w:tc>
        <w:tc>
          <w:tcPr>
            <w:tcW w:w="1131" w:type="dxa"/>
            <w:vAlign w:val="center"/>
          </w:tcPr>
          <w:p>
            <w:pPr>
              <w:pStyle w:val="28"/>
              <w:tabs>
                <w:tab w:val="center" w:pos="2268"/>
                <w:tab w:val="right" w:pos="5387"/>
                <w:tab w:val="clear" w:pos="4820"/>
              </w:tabs>
              <w:spacing w:before="0" w:after="0" w:line="360" w:lineRule="auto"/>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60" w:lineRule="auto"/>
              <w:jc w:val="center"/>
              <w:rPr>
                <w:rFonts w:ascii="宋体" w:hAnsi="宋体"/>
                <w:b/>
                <w:color w:val="000000"/>
              </w:rPr>
            </w:pPr>
          </w:p>
        </w:tc>
      </w:tr>
    </w:tbl>
    <w:p>
      <w:pPr>
        <w:pStyle w:val="7"/>
        <w:rPr>
          <w:lang w:val="en-GB"/>
        </w:rPr>
      </w:pPr>
      <w:bookmarkStart w:id="34" w:name="_Toc450905302"/>
      <w:bookmarkStart w:id="35" w:name="_Toc340348739"/>
      <w:bookmarkStart w:id="36" w:name="_Toc9587"/>
      <w:bookmarkStart w:id="37" w:name="_Toc12046"/>
    </w:p>
    <w:p>
      <w:pPr>
        <w:pStyle w:val="5"/>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.6供应商对项目要求的确认</w:t>
      </w:r>
    </w:p>
    <w:p>
      <w:pPr>
        <w:spacing w:line="360" w:lineRule="auto"/>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供应商对URS中的项目要求条款予以确认，有偏离的做对应的详细说明。</w:t>
      </w:r>
    </w:p>
    <w:p>
      <w:pPr>
        <w:spacing w:line="360" w:lineRule="auto"/>
        <w:jc w:val="center"/>
        <w:rPr>
          <w:rFonts w:ascii="宋体" w:hAnsi="宋体" w:cs="Arial"/>
          <w:bCs/>
          <w:caps/>
          <w:color w:val="000000"/>
          <w:szCs w:val="24"/>
          <w:lang w:val="en-GB"/>
        </w:rPr>
      </w:pPr>
      <w:r>
        <w:rPr>
          <w:rFonts w:hint="eastAsia" w:ascii="宋体" w:hAnsi="宋体" w:cs="Arial"/>
          <w:bCs/>
          <w:caps/>
          <w:color w:val="000000"/>
          <w:szCs w:val="24"/>
          <w:lang w:val="en-GB"/>
        </w:rPr>
        <w:t>《URS偏离汇总表》</w:t>
      </w:r>
    </w:p>
    <w:tbl>
      <w:tblPr>
        <w:tblStyle w:val="13"/>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94"/>
        <w:gridCol w:w="502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850" w:type="dxa"/>
            <w:shd w:val="pct20" w:color="auto" w:fill="FFFFFF"/>
            <w:vAlign w:val="center"/>
          </w:tcPr>
          <w:p>
            <w:pPr>
              <w:spacing w:line="320" w:lineRule="exact"/>
              <w:jc w:val="center"/>
              <w:rPr>
                <w:b/>
                <w:color w:val="000000"/>
              </w:rPr>
            </w:pPr>
            <w:r>
              <w:rPr>
                <w:rFonts w:hint="eastAsia"/>
                <w:b/>
                <w:color w:val="000000"/>
              </w:rPr>
              <w:t>序号</w:t>
            </w:r>
          </w:p>
        </w:tc>
        <w:tc>
          <w:tcPr>
            <w:tcW w:w="1794" w:type="dxa"/>
            <w:shd w:val="pct20" w:color="auto" w:fill="FFFFFF"/>
            <w:vAlign w:val="center"/>
          </w:tcPr>
          <w:p>
            <w:pPr>
              <w:spacing w:line="320" w:lineRule="exact"/>
              <w:jc w:val="center"/>
              <w:rPr>
                <w:b/>
                <w:color w:val="000000"/>
              </w:rPr>
            </w:pPr>
            <w:r>
              <w:rPr>
                <w:rFonts w:hint="eastAsia"/>
                <w:b/>
                <w:color w:val="000000"/>
              </w:rPr>
              <w:t>URS编号</w:t>
            </w:r>
          </w:p>
        </w:tc>
        <w:tc>
          <w:tcPr>
            <w:tcW w:w="5023" w:type="dxa"/>
            <w:shd w:val="pct20" w:color="auto" w:fill="FFFFFF"/>
            <w:vAlign w:val="center"/>
          </w:tcPr>
          <w:p>
            <w:pPr>
              <w:spacing w:line="320" w:lineRule="exact"/>
              <w:jc w:val="center"/>
              <w:rPr>
                <w:rFonts w:ascii="宋体"/>
                <w:b/>
                <w:color w:val="000000"/>
              </w:rPr>
            </w:pPr>
            <w:r>
              <w:rPr>
                <w:rFonts w:hint="eastAsia" w:ascii="宋体" w:hAnsi="宋体"/>
                <w:b/>
                <w:color w:val="000000"/>
              </w:rPr>
              <w:t>偏离项</w:t>
            </w:r>
          </w:p>
        </w:tc>
        <w:tc>
          <w:tcPr>
            <w:tcW w:w="2183"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4"/>
              <w:spacing w:before="0" w:line="320" w:lineRule="exact"/>
              <w:rPr>
                <w:rFonts w:ascii="Arial" w:hAnsi="Arial"/>
                <w:color w:val="000000"/>
                <w:sz w:val="20"/>
                <w:lang w:eastAsia="zh-CN"/>
              </w:rPr>
            </w:pPr>
          </w:p>
        </w:tc>
        <w:tc>
          <w:tcPr>
            <w:tcW w:w="1794" w:type="dxa"/>
            <w:vAlign w:val="center"/>
          </w:tcPr>
          <w:p>
            <w:pPr>
              <w:pStyle w:val="26"/>
              <w:spacing w:line="320" w:lineRule="exact"/>
              <w:rPr>
                <w:rFonts w:hAnsi="宋体"/>
              </w:rPr>
            </w:pPr>
          </w:p>
        </w:tc>
        <w:tc>
          <w:tcPr>
            <w:tcW w:w="5023" w:type="dxa"/>
            <w:vAlign w:val="center"/>
          </w:tcPr>
          <w:p>
            <w:pPr>
              <w:pStyle w:val="28"/>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4"/>
              <w:spacing w:before="0" w:line="320" w:lineRule="exact"/>
              <w:rPr>
                <w:rFonts w:ascii="Arial" w:hAnsi="Arial"/>
                <w:color w:val="000000"/>
                <w:sz w:val="20"/>
                <w:lang w:eastAsia="zh-CN"/>
              </w:rPr>
            </w:pPr>
          </w:p>
        </w:tc>
        <w:tc>
          <w:tcPr>
            <w:tcW w:w="1794" w:type="dxa"/>
            <w:vAlign w:val="center"/>
          </w:tcPr>
          <w:p>
            <w:pPr>
              <w:pStyle w:val="26"/>
              <w:spacing w:line="320" w:lineRule="exact"/>
              <w:rPr>
                <w:rFonts w:hAnsi="宋体"/>
              </w:rPr>
            </w:pPr>
          </w:p>
        </w:tc>
        <w:tc>
          <w:tcPr>
            <w:tcW w:w="5023" w:type="dxa"/>
            <w:vAlign w:val="center"/>
          </w:tcPr>
          <w:p>
            <w:pPr>
              <w:pStyle w:val="28"/>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bl>
    <w:p>
      <w:pPr>
        <w:rPr>
          <w:lang w:val="en-GB"/>
        </w:rPr>
      </w:pPr>
    </w:p>
    <w:p>
      <w:pPr>
        <w:pStyle w:val="4"/>
        <w:spacing w:line="360" w:lineRule="auto"/>
        <w:jc w:val="left"/>
        <w:rPr>
          <w:rFonts w:ascii="宋体" w:hAnsi="宋体" w:eastAsia="宋体"/>
          <w:color w:val="000000"/>
          <w:szCs w:val="24"/>
          <w:lang w:eastAsia="zh-CN"/>
        </w:rPr>
      </w:pPr>
      <w:r>
        <w:rPr>
          <w:rFonts w:ascii="宋体" w:hAnsi="宋体" w:eastAsia="宋体"/>
          <w:color w:val="000000"/>
          <w:szCs w:val="24"/>
          <w:lang w:val="en-US" w:eastAsia="zh-CN"/>
        </w:rPr>
        <w:t>8</w:t>
      </w:r>
      <w:r>
        <w:rPr>
          <w:rFonts w:hint="eastAsia" w:ascii="宋体" w:hAnsi="宋体" w:eastAsia="宋体"/>
          <w:color w:val="000000"/>
          <w:szCs w:val="24"/>
          <w:lang w:eastAsia="zh-CN"/>
        </w:rPr>
        <w:t xml:space="preserve"> 术语</w:t>
      </w:r>
      <w:bookmarkEnd w:id="34"/>
      <w:bookmarkEnd w:id="35"/>
      <w:bookmarkEnd w:id="36"/>
      <w:bookmarkEnd w:id="37"/>
    </w:p>
    <w:tbl>
      <w:tblPr>
        <w:tblStyle w:val="13"/>
        <w:tblW w:w="9889" w:type="dxa"/>
        <w:jc w:val="center"/>
        <w:tblLayout w:type="fixed"/>
        <w:tblCellMar>
          <w:top w:w="0" w:type="dxa"/>
          <w:left w:w="108" w:type="dxa"/>
          <w:bottom w:w="0" w:type="dxa"/>
          <w:right w:w="108" w:type="dxa"/>
        </w:tblCellMar>
      </w:tblPr>
      <w:tblGrid>
        <w:gridCol w:w="2679"/>
        <w:gridCol w:w="7210"/>
      </w:tblGrid>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术语</w:t>
            </w:r>
          </w:p>
        </w:tc>
        <w:tc>
          <w:tcPr>
            <w:tcW w:w="72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 xml:space="preserve"> 定义</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FAT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出厂验收测试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GAMP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良好的自动生产规范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药品生产质量管理规范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DQ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设计确认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安装确认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ISO</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国际标准组织</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OQ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运行确认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PQ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性能确认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现场验收测试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SOP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标准操作规程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90584"/>
    <w:multiLevelType w:val="singleLevel"/>
    <w:tmpl w:val="BDA90584"/>
    <w:lvl w:ilvl="0" w:tentative="0">
      <w:start w:val="1"/>
      <w:numFmt w:val="decimal"/>
      <w:lvlText w:val="URS%1"/>
      <w:lvlJc w:val="left"/>
      <w:pPr>
        <w:tabs>
          <w:tab w:val="left" w:pos="420"/>
        </w:tabs>
        <w:ind w:left="425" w:hanging="425"/>
      </w:pPr>
      <w:rPr>
        <w:rFonts w:hint="default" w:ascii="宋体" w:hAnsi="宋体" w:eastAsia="宋体" w:cs="宋体"/>
      </w:rPr>
    </w:lvl>
  </w:abstractNum>
  <w:abstractNum w:abstractNumId="1">
    <w:nsid w:val="5A10E506"/>
    <w:multiLevelType w:val="singleLevel"/>
    <w:tmpl w:val="5A10E506"/>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jMTJkOTAxODRlM2Y2N2Y0Y2JhNzhhNThiZjkyOTEifQ=="/>
  </w:docVars>
  <w:rsids>
    <w:rsidRoot w:val="00D83CC9"/>
    <w:rsid w:val="00035656"/>
    <w:rsid w:val="000938EC"/>
    <w:rsid w:val="000A1670"/>
    <w:rsid w:val="000C314F"/>
    <w:rsid w:val="000C707D"/>
    <w:rsid w:val="000D37A1"/>
    <w:rsid w:val="000D5B2E"/>
    <w:rsid w:val="000D7754"/>
    <w:rsid w:val="001010CE"/>
    <w:rsid w:val="0011662F"/>
    <w:rsid w:val="00125745"/>
    <w:rsid w:val="00125C3C"/>
    <w:rsid w:val="001262D1"/>
    <w:rsid w:val="001303D7"/>
    <w:rsid w:val="00136BF4"/>
    <w:rsid w:val="0015536A"/>
    <w:rsid w:val="00166014"/>
    <w:rsid w:val="001C05B7"/>
    <w:rsid w:val="002230C0"/>
    <w:rsid w:val="00233533"/>
    <w:rsid w:val="002361E3"/>
    <w:rsid w:val="002431E9"/>
    <w:rsid w:val="002440C2"/>
    <w:rsid w:val="00247635"/>
    <w:rsid w:val="00252C7F"/>
    <w:rsid w:val="002747B0"/>
    <w:rsid w:val="00283593"/>
    <w:rsid w:val="002837F6"/>
    <w:rsid w:val="002A03DC"/>
    <w:rsid w:val="002A6BEC"/>
    <w:rsid w:val="002A7EC8"/>
    <w:rsid w:val="002B6A89"/>
    <w:rsid w:val="002C2BFA"/>
    <w:rsid w:val="002E648D"/>
    <w:rsid w:val="002E6DD7"/>
    <w:rsid w:val="002E6ECE"/>
    <w:rsid w:val="002F1EFB"/>
    <w:rsid w:val="0032677C"/>
    <w:rsid w:val="00334778"/>
    <w:rsid w:val="00337ED5"/>
    <w:rsid w:val="003517F2"/>
    <w:rsid w:val="003528DA"/>
    <w:rsid w:val="00353172"/>
    <w:rsid w:val="003560EF"/>
    <w:rsid w:val="00382349"/>
    <w:rsid w:val="003B375E"/>
    <w:rsid w:val="003E227D"/>
    <w:rsid w:val="003E4042"/>
    <w:rsid w:val="003F573C"/>
    <w:rsid w:val="00436028"/>
    <w:rsid w:val="00445633"/>
    <w:rsid w:val="004461DB"/>
    <w:rsid w:val="00486C1E"/>
    <w:rsid w:val="00491410"/>
    <w:rsid w:val="004A7495"/>
    <w:rsid w:val="004B060A"/>
    <w:rsid w:val="004B328A"/>
    <w:rsid w:val="004B7719"/>
    <w:rsid w:val="004C5133"/>
    <w:rsid w:val="004D022E"/>
    <w:rsid w:val="004F530E"/>
    <w:rsid w:val="00511CE7"/>
    <w:rsid w:val="0052298B"/>
    <w:rsid w:val="00524B62"/>
    <w:rsid w:val="00524D6A"/>
    <w:rsid w:val="0056320E"/>
    <w:rsid w:val="00590055"/>
    <w:rsid w:val="005A1A18"/>
    <w:rsid w:val="005A7C2A"/>
    <w:rsid w:val="005C5112"/>
    <w:rsid w:val="005C7C7A"/>
    <w:rsid w:val="00601DBA"/>
    <w:rsid w:val="00605E27"/>
    <w:rsid w:val="0062505C"/>
    <w:rsid w:val="006268B9"/>
    <w:rsid w:val="00641A7B"/>
    <w:rsid w:val="00645169"/>
    <w:rsid w:val="00645D17"/>
    <w:rsid w:val="00666ACC"/>
    <w:rsid w:val="00667ECA"/>
    <w:rsid w:val="006711F5"/>
    <w:rsid w:val="006858B6"/>
    <w:rsid w:val="006C087C"/>
    <w:rsid w:val="006C6FB0"/>
    <w:rsid w:val="006F2686"/>
    <w:rsid w:val="007178D0"/>
    <w:rsid w:val="0072110D"/>
    <w:rsid w:val="00725121"/>
    <w:rsid w:val="00736C45"/>
    <w:rsid w:val="00737BD7"/>
    <w:rsid w:val="007427C7"/>
    <w:rsid w:val="00750E89"/>
    <w:rsid w:val="0075159C"/>
    <w:rsid w:val="00757594"/>
    <w:rsid w:val="00767090"/>
    <w:rsid w:val="007A154B"/>
    <w:rsid w:val="007B18ED"/>
    <w:rsid w:val="007B5DD0"/>
    <w:rsid w:val="007C6845"/>
    <w:rsid w:val="007D321E"/>
    <w:rsid w:val="007D5598"/>
    <w:rsid w:val="007D6DAE"/>
    <w:rsid w:val="007E76E0"/>
    <w:rsid w:val="00805775"/>
    <w:rsid w:val="00806833"/>
    <w:rsid w:val="00812C15"/>
    <w:rsid w:val="0083671B"/>
    <w:rsid w:val="00840B7C"/>
    <w:rsid w:val="00842D58"/>
    <w:rsid w:val="008526F6"/>
    <w:rsid w:val="0085363F"/>
    <w:rsid w:val="0085586F"/>
    <w:rsid w:val="008676D3"/>
    <w:rsid w:val="00871830"/>
    <w:rsid w:val="00883C1C"/>
    <w:rsid w:val="00887DFE"/>
    <w:rsid w:val="00893E14"/>
    <w:rsid w:val="008A496C"/>
    <w:rsid w:val="008B2176"/>
    <w:rsid w:val="008B7088"/>
    <w:rsid w:val="008C4218"/>
    <w:rsid w:val="008D77D6"/>
    <w:rsid w:val="008E1B52"/>
    <w:rsid w:val="008F19F7"/>
    <w:rsid w:val="008F7DBB"/>
    <w:rsid w:val="009001B9"/>
    <w:rsid w:val="00902BFF"/>
    <w:rsid w:val="00904594"/>
    <w:rsid w:val="00955317"/>
    <w:rsid w:val="009606A2"/>
    <w:rsid w:val="009614E9"/>
    <w:rsid w:val="00987110"/>
    <w:rsid w:val="009A1972"/>
    <w:rsid w:val="009D6E1B"/>
    <w:rsid w:val="00A20456"/>
    <w:rsid w:val="00A358D0"/>
    <w:rsid w:val="00A42271"/>
    <w:rsid w:val="00A426A7"/>
    <w:rsid w:val="00A52228"/>
    <w:rsid w:val="00A619B8"/>
    <w:rsid w:val="00A65443"/>
    <w:rsid w:val="00A66E35"/>
    <w:rsid w:val="00A6732F"/>
    <w:rsid w:val="00A81CDF"/>
    <w:rsid w:val="00A87579"/>
    <w:rsid w:val="00A97F14"/>
    <w:rsid w:val="00AB136B"/>
    <w:rsid w:val="00AC4FE0"/>
    <w:rsid w:val="00AE7D46"/>
    <w:rsid w:val="00B11D46"/>
    <w:rsid w:val="00B32953"/>
    <w:rsid w:val="00B43A48"/>
    <w:rsid w:val="00B50EBB"/>
    <w:rsid w:val="00B75023"/>
    <w:rsid w:val="00B9732F"/>
    <w:rsid w:val="00BA28B9"/>
    <w:rsid w:val="00BB766F"/>
    <w:rsid w:val="00BD6D2B"/>
    <w:rsid w:val="00BF34D9"/>
    <w:rsid w:val="00BF63B2"/>
    <w:rsid w:val="00C0196D"/>
    <w:rsid w:val="00C12F4D"/>
    <w:rsid w:val="00C4474A"/>
    <w:rsid w:val="00C44C08"/>
    <w:rsid w:val="00C52849"/>
    <w:rsid w:val="00C778B1"/>
    <w:rsid w:val="00C8132C"/>
    <w:rsid w:val="00C81401"/>
    <w:rsid w:val="00C862D6"/>
    <w:rsid w:val="00C87DCF"/>
    <w:rsid w:val="00C95EEE"/>
    <w:rsid w:val="00CA7DAA"/>
    <w:rsid w:val="00CB1F63"/>
    <w:rsid w:val="00CB2308"/>
    <w:rsid w:val="00CC1CB7"/>
    <w:rsid w:val="00CD2D48"/>
    <w:rsid w:val="00CD350D"/>
    <w:rsid w:val="00CD3ABD"/>
    <w:rsid w:val="00CE6935"/>
    <w:rsid w:val="00D6100E"/>
    <w:rsid w:val="00D73544"/>
    <w:rsid w:val="00D83CC9"/>
    <w:rsid w:val="00D84EAE"/>
    <w:rsid w:val="00DA2E0B"/>
    <w:rsid w:val="00DA35CC"/>
    <w:rsid w:val="00DF532F"/>
    <w:rsid w:val="00E41E9A"/>
    <w:rsid w:val="00E42F1B"/>
    <w:rsid w:val="00E54987"/>
    <w:rsid w:val="00E66626"/>
    <w:rsid w:val="00E74489"/>
    <w:rsid w:val="00E80E3F"/>
    <w:rsid w:val="00E92B96"/>
    <w:rsid w:val="00EA7041"/>
    <w:rsid w:val="00EA7FCF"/>
    <w:rsid w:val="00EB0214"/>
    <w:rsid w:val="00EC2674"/>
    <w:rsid w:val="00EC31FE"/>
    <w:rsid w:val="00EC5E82"/>
    <w:rsid w:val="00ED1EC8"/>
    <w:rsid w:val="00ED49ED"/>
    <w:rsid w:val="00ED4BC9"/>
    <w:rsid w:val="00EE534D"/>
    <w:rsid w:val="00F04B0C"/>
    <w:rsid w:val="00F06E20"/>
    <w:rsid w:val="00F07CC9"/>
    <w:rsid w:val="00F1166C"/>
    <w:rsid w:val="00F1196B"/>
    <w:rsid w:val="00F23FC0"/>
    <w:rsid w:val="00F315B8"/>
    <w:rsid w:val="00F64422"/>
    <w:rsid w:val="00F70245"/>
    <w:rsid w:val="00F71918"/>
    <w:rsid w:val="00FA09D6"/>
    <w:rsid w:val="00FA3A87"/>
    <w:rsid w:val="00FC4A4F"/>
    <w:rsid w:val="00FC5848"/>
    <w:rsid w:val="00FC7C5B"/>
    <w:rsid w:val="00FE0FC6"/>
    <w:rsid w:val="00FE288F"/>
    <w:rsid w:val="00FE3E61"/>
    <w:rsid w:val="00FE5A5B"/>
    <w:rsid w:val="02CA2B68"/>
    <w:rsid w:val="07D02C82"/>
    <w:rsid w:val="0AA24833"/>
    <w:rsid w:val="0AEB3ADB"/>
    <w:rsid w:val="0E15476E"/>
    <w:rsid w:val="0E3520FA"/>
    <w:rsid w:val="13FE3862"/>
    <w:rsid w:val="14E05041"/>
    <w:rsid w:val="1F0102AB"/>
    <w:rsid w:val="22D948A9"/>
    <w:rsid w:val="255D3CF6"/>
    <w:rsid w:val="273A7AA7"/>
    <w:rsid w:val="2BC323B3"/>
    <w:rsid w:val="2EFA1321"/>
    <w:rsid w:val="3B600D6D"/>
    <w:rsid w:val="3C197744"/>
    <w:rsid w:val="42E036A0"/>
    <w:rsid w:val="436454D9"/>
    <w:rsid w:val="43DF34D8"/>
    <w:rsid w:val="4C9C6D0B"/>
    <w:rsid w:val="4DFD2BA1"/>
    <w:rsid w:val="4E7416CB"/>
    <w:rsid w:val="53CD420F"/>
    <w:rsid w:val="544306A7"/>
    <w:rsid w:val="57F93682"/>
    <w:rsid w:val="59B67DB3"/>
    <w:rsid w:val="5F7C7858"/>
    <w:rsid w:val="625438B3"/>
    <w:rsid w:val="63921F4C"/>
    <w:rsid w:val="65005F9B"/>
    <w:rsid w:val="6A7A3EC8"/>
    <w:rsid w:val="6BB32725"/>
    <w:rsid w:val="6FE82ACB"/>
    <w:rsid w:val="72C75774"/>
    <w:rsid w:val="75303555"/>
    <w:rsid w:val="760812F4"/>
    <w:rsid w:val="79550401"/>
    <w:rsid w:val="7F6D0914"/>
    <w:rsid w:val="7F701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9"/>
    <w:qFormat/>
    <w:uiPriority w:val="0"/>
    <w:pPr>
      <w:keepNext/>
      <w:widowControl/>
      <w:jc w:val="center"/>
      <w:outlineLvl w:val="0"/>
    </w:pPr>
    <w:rPr>
      <w:rFonts w:eastAsia="Arial"/>
      <w:b/>
      <w:kern w:val="0"/>
      <w:sz w:val="24"/>
      <w:lang w:val="da-DK" w:eastAsia="en-GB"/>
    </w:rPr>
  </w:style>
  <w:style w:type="paragraph" w:styleId="5">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sz w:val="21"/>
    </w:rPr>
  </w:style>
  <w:style w:type="paragraph" w:styleId="3">
    <w:name w:val="Body Text Indent"/>
    <w:basedOn w:val="1"/>
    <w:qFormat/>
    <w:uiPriority w:val="0"/>
    <w:pPr>
      <w:spacing w:line="540" w:lineRule="exact"/>
      <w:ind w:firstLine="480" w:firstLineChars="200"/>
    </w:pPr>
    <w:rPr>
      <w:sz w:val="24"/>
    </w:rPr>
  </w:style>
  <w:style w:type="paragraph" w:styleId="6">
    <w:name w:val="annotation text"/>
    <w:basedOn w:val="1"/>
    <w:link w:val="27"/>
    <w:semiHidden/>
    <w:qFormat/>
    <w:uiPriority w:val="0"/>
    <w:pPr>
      <w:jc w:val="left"/>
    </w:pPr>
  </w:style>
  <w:style w:type="paragraph" w:styleId="7">
    <w:name w:val="Body Text"/>
    <w:basedOn w:val="1"/>
    <w:link w:val="22"/>
    <w:semiHidden/>
    <w:unhideWhenUsed/>
    <w:qFormat/>
    <w:uiPriority w:val="99"/>
    <w:pPr>
      <w:spacing w:after="120"/>
    </w:pPr>
  </w:style>
  <w:style w:type="paragraph" w:styleId="8">
    <w:name w:val="Balloon Text"/>
    <w:basedOn w:val="1"/>
    <w:link w:val="2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annotation subject"/>
    <w:basedOn w:val="6"/>
    <w:next w:val="6"/>
    <w:link w:val="31"/>
    <w:qFormat/>
    <w:uiPriority w:val="0"/>
    <w:rPr>
      <w:b/>
      <w:bCs/>
    </w:rPr>
  </w:style>
  <w:style w:type="table" w:styleId="14">
    <w:name w:val="Table Grid"/>
    <w:basedOn w:val="13"/>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character" w:customStyle="1" w:styleId="19">
    <w:name w:val="标题 1 Char"/>
    <w:basedOn w:val="15"/>
    <w:link w:val="4"/>
    <w:qFormat/>
    <w:uiPriority w:val="0"/>
    <w:rPr>
      <w:rFonts w:ascii="Times New Roman" w:hAnsi="Times New Roman" w:eastAsia="Arial" w:cs="Times New Roman"/>
      <w:b/>
      <w:kern w:val="0"/>
      <w:sz w:val="24"/>
      <w:szCs w:val="20"/>
      <w:lang w:val="da-DK" w:eastAsia="en-GB"/>
    </w:rPr>
  </w:style>
  <w:style w:type="paragraph" w:customStyle="1" w:styleId="20">
    <w:name w:val="正文1"/>
    <w:basedOn w:val="1"/>
    <w:qFormat/>
    <w:uiPriority w:val="0"/>
    <w:pPr>
      <w:spacing w:line="312" w:lineRule="auto"/>
      <w:ind w:firstLine="200" w:firstLineChars="200"/>
    </w:pPr>
    <w:rPr>
      <w:lang w:val="zh-CN"/>
    </w:rPr>
  </w:style>
  <w:style w:type="paragraph" w:styleId="21">
    <w:name w:val="List Paragraph"/>
    <w:basedOn w:val="1"/>
    <w:qFormat/>
    <w:uiPriority w:val="0"/>
    <w:pPr>
      <w:ind w:firstLine="420" w:firstLineChars="200"/>
    </w:pPr>
    <w:rPr>
      <w:rFonts w:ascii="Calibri" w:hAnsi="Calibri"/>
      <w:szCs w:val="22"/>
    </w:rPr>
  </w:style>
  <w:style w:type="character" w:customStyle="1" w:styleId="22">
    <w:name w:val="正文文本 Char"/>
    <w:basedOn w:val="15"/>
    <w:link w:val="7"/>
    <w:semiHidden/>
    <w:qFormat/>
    <w:uiPriority w:val="99"/>
    <w:rPr>
      <w:rFonts w:ascii="Times New Roman" w:hAnsi="Times New Roman" w:eastAsia="宋体" w:cs="Times New Roman"/>
      <w:szCs w:val="20"/>
    </w:rPr>
  </w:style>
  <w:style w:type="character" w:customStyle="1" w:styleId="23">
    <w:name w:val="Text Char"/>
    <w:link w:val="24"/>
    <w:qFormat/>
    <w:locked/>
    <w:uiPriority w:val="0"/>
    <w:rPr>
      <w:rFonts w:eastAsia="宋体"/>
      <w:sz w:val="24"/>
      <w:lang w:eastAsia="en-US"/>
    </w:rPr>
  </w:style>
  <w:style w:type="paragraph" w:customStyle="1" w:styleId="24">
    <w:name w:val="Text"/>
    <w:basedOn w:val="1"/>
    <w:link w:val="23"/>
    <w:qFormat/>
    <w:uiPriority w:val="0"/>
    <w:pPr>
      <w:widowControl/>
      <w:spacing w:before="120"/>
    </w:pPr>
    <w:rPr>
      <w:rFonts w:asciiTheme="minorHAnsi" w:hAnsiTheme="minorHAnsi" w:cstheme="minorBidi"/>
      <w:sz w:val="24"/>
      <w:szCs w:val="22"/>
      <w:lang w:eastAsia="en-US"/>
    </w:rPr>
  </w:style>
  <w:style w:type="character" w:customStyle="1" w:styleId="25">
    <w:name w:val="标题 2 Char"/>
    <w:basedOn w:val="15"/>
    <w:link w:val="5"/>
    <w:qFormat/>
    <w:uiPriority w:val="0"/>
    <w:rPr>
      <w:rFonts w:ascii="Arial" w:hAnsi="Arial" w:eastAsia="黑体" w:cs="Times New Roman"/>
      <w:b/>
      <w:bCs/>
      <w:sz w:val="32"/>
      <w:szCs w:val="32"/>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批注文字 Char"/>
    <w:basedOn w:val="15"/>
    <w:link w:val="6"/>
    <w:autoRedefine/>
    <w:semiHidden/>
    <w:qFormat/>
    <w:uiPriority w:val="0"/>
    <w:rPr>
      <w:rFonts w:ascii="Times New Roman" w:hAnsi="Times New Roman" w:eastAsia="宋体" w:cs="Times New Roman"/>
      <w:szCs w:val="20"/>
    </w:rPr>
  </w:style>
  <w:style w:type="paragraph" w:customStyle="1" w:styleId="28">
    <w:name w:val="Heading Left"/>
    <w:basedOn w:val="1"/>
    <w:qFormat/>
    <w:uiPriority w:val="0"/>
    <w:pPr>
      <w:widowControl/>
      <w:tabs>
        <w:tab w:val="center" w:pos="4820"/>
        <w:tab w:val="right" w:pos="9639"/>
      </w:tabs>
      <w:spacing w:before="120" w:after="120"/>
      <w:jc w:val="left"/>
    </w:pPr>
    <w:rPr>
      <w:rFonts w:ascii="Arial" w:hAnsi="Arial"/>
      <w:b/>
      <w:caps/>
      <w:kern w:val="0"/>
      <w:sz w:val="24"/>
      <w:lang w:val="en-GB" w:eastAsia="en-US"/>
    </w:rPr>
  </w:style>
  <w:style w:type="character" w:customStyle="1" w:styleId="29">
    <w:name w:val="批注框文本 Char"/>
    <w:basedOn w:val="15"/>
    <w:link w:val="8"/>
    <w:autoRedefine/>
    <w:semiHidden/>
    <w:qFormat/>
    <w:uiPriority w:val="99"/>
    <w:rPr>
      <w:rFonts w:ascii="Times New Roman" w:hAnsi="Times New Roman" w:eastAsia="宋体" w:cs="Times New Roman"/>
      <w:sz w:val="18"/>
      <w:szCs w:val="18"/>
    </w:rPr>
  </w:style>
  <w:style w:type="character" w:customStyle="1" w:styleId="30">
    <w:name w:val="Text Char Char"/>
    <w:autoRedefine/>
    <w:qFormat/>
    <w:uiPriority w:val="0"/>
    <w:rPr>
      <w:sz w:val="24"/>
      <w:lang w:eastAsia="en-US"/>
    </w:rPr>
  </w:style>
  <w:style w:type="character" w:customStyle="1" w:styleId="31">
    <w:name w:val="批注主题 Char"/>
    <w:basedOn w:val="27"/>
    <w:link w:val="12"/>
    <w:autoRedefine/>
    <w:qFormat/>
    <w:uiPriority w:val="0"/>
    <w:rPr>
      <w:b/>
      <w:bCs/>
    </w:rPr>
  </w:style>
  <w:style w:type="paragraph" w:customStyle="1" w:styleId="32">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193AF-B4DE-423D-9900-B535C883A6F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1162</Words>
  <Characters>6626</Characters>
  <Lines>55</Lines>
  <Paragraphs>15</Paragraphs>
  <TotalTime>0</TotalTime>
  <ScaleCrop>false</ScaleCrop>
  <LinksUpToDate>false</LinksUpToDate>
  <CharactersWithSpaces>7773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2022-10-10T03:15:00Z</dcterms:created>
  <dc:creator>123</dc:creator>
  <cp:lastModifiedBy>_Soso</cp:lastModifiedBy>
  <cp:lastPrinted>2023-11-23T01:08:00Z</cp:lastPrinted>
  <dcterms:modified xsi:type="dcterms:W3CDTF">2024-01-25T06:12:43Z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C1CD063FE56F45C3B40C94C3103F8E4E_13</vt:lpwstr>
  </property>
</Properties>
</file>