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sz w:val="52"/>
          <w:szCs w:val="52"/>
        </w:rPr>
      </w:pPr>
    </w:p>
    <w:p>
      <w:pPr>
        <w:jc w:val="center"/>
        <w:rPr>
          <w:rFonts w:ascii="黑体" w:eastAsia="黑体"/>
          <w:sz w:val="52"/>
          <w:szCs w:val="52"/>
        </w:rPr>
      </w:pPr>
      <w:r>
        <w:rPr>
          <w:rFonts w:hint="eastAsia" w:ascii="黑体" w:eastAsia="黑体" w:cs="黑体"/>
          <w:sz w:val="52"/>
          <w:szCs w:val="52"/>
        </w:rPr>
        <w:t>广州白云山明兴制药有限公司</w:t>
      </w:r>
    </w:p>
    <w:p>
      <w:pPr>
        <w:jc w:val="center"/>
        <w:rPr>
          <w:rFonts w:ascii="黑体" w:eastAsia="黑体"/>
          <w:sz w:val="52"/>
          <w:szCs w:val="52"/>
        </w:rPr>
      </w:pPr>
      <w:r>
        <w:rPr>
          <w:rFonts w:hint="eastAsia" w:ascii="黑体" w:eastAsia="黑体" w:cs="黑体"/>
          <w:sz w:val="52"/>
          <w:szCs w:val="52"/>
        </w:rPr>
        <w:t>用户需求书</w:t>
      </w:r>
    </w:p>
    <w:p>
      <w:pPr>
        <w:rPr>
          <w:b/>
          <w:bCs/>
          <w:sz w:val="52"/>
          <w:szCs w:val="52"/>
        </w:rPr>
      </w:pPr>
    </w:p>
    <w:p>
      <w:pPr>
        <w:rPr>
          <w:b/>
          <w:bCs/>
          <w:sz w:val="52"/>
          <w:szCs w:val="52"/>
        </w:rPr>
      </w:pPr>
    </w:p>
    <w:p>
      <w:pPr>
        <w:rPr>
          <w:b/>
          <w:bCs/>
          <w:sz w:val="52"/>
          <w:szCs w:val="52"/>
        </w:rPr>
      </w:pPr>
    </w:p>
    <w:p>
      <w:pPr>
        <w:spacing w:before="100" w:beforeAutospacing="1" w:after="100" w:afterAutospacing="1"/>
        <w:rPr>
          <w:rFonts w:ascii="黑体" w:eastAsia="黑体"/>
          <w:sz w:val="28"/>
          <w:szCs w:val="28"/>
        </w:rPr>
      </w:pPr>
      <w:r>
        <w:rPr>
          <w:szCs w:val="21"/>
        </w:rPr>
        <w:pict>
          <v:line id="_x0000_s1026" o:spid="_x0000_s1026" o:spt="20" style="position:absolute;left:0pt;margin-left:90pt;margin-top:39pt;height:0pt;width:288pt;z-index:251659264;mso-width-relative:page;mso-height-relative:page;" coordsize="21600,21600" o:gfxdata="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Uc3R1AAAAAkBAAAPAAAAAAAAAAEAIAAAACIAAABkcnMvZG93bnJldi54bWxQSwECFAAU&#10;AAAACACHTuJAo2OPSPUBAADkAwAADgAAAAAAAAABACAAAAAjAQAAZHJzL2Uyb0RvYy54bWxQSwUG&#10;AAAAAAYABgBZAQAAigUAAAAA&#10;">
            <v:path arrowok="t"/>
            <v:fill focussize="0,0"/>
            <v:stroke/>
            <v:imagedata o:title=""/>
            <o:lock v:ext="edit"/>
          </v:line>
        </w:pict>
      </w:r>
      <w:r>
        <w:rPr>
          <w:rFonts w:hint="eastAsia" w:ascii="黑体" w:eastAsia="黑体" w:cs="黑体"/>
          <w:sz w:val="36"/>
          <w:szCs w:val="36"/>
        </w:rPr>
        <w:t>设备名称：</w:t>
      </w:r>
      <w:r>
        <w:rPr>
          <w:rFonts w:hint="eastAsia" w:ascii="黑体" w:eastAsia="黑体" w:cs="黑体"/>
          <w:sz w:val="28"/>
          <w:szCs w:val="36"/>
        </w:rPr>
        <w:t xml:space="preserve">  </w:t>
      </w:r>
      <w:r>
        <w:rPr>
          <w:rFonts w:hint="eastAsia" w:ascii="宋体" w:hAnsi="宋体"/>
          <w:b/>
          <w:bCs/>
          <w:sz w:val="40"/>
        </w:rPr>
        <w:t>安瓿瓶分托贴标入托</w:t>
      </w:r>
      <w:r>
        <w:rPr>
          <w:rFonts w:hint="eastAsia" w:ascii="宋体" w:hAnsi="宋体"/>
          <w:b/>
          <w:bCs/>
          <w:sz w:val="40"/>
          <w:lang w:val="en-US" w:eastAsia="zh-CN"/>
        </w:rPr>
        <w:t>防爆</w:t>
      </w:r>
      <w:r>
        <w:rPr>
          <w:rFonts w:hint="eastAsia" w:ascii="宋体" w:hAnsi="宋体"/>
          <w:b/>
          <w:bCs/>
          <w:sz w:val="40"/>
        </w:rPr>
        <w:t>包装线</w:t>
      </w:r>
    </w:p>
    <w:p>
      <w:pPr>
        <w:rPr>
          <w:b/>
          <w:bCs/>
          <w:sz w:val="36"/>
          <w:szCs w:val="36"/>
        </w:rPr>
      </w:pPr>
    </w:p>
    <w:p>
      <w:pPr>
        <w:rPr>
          <w:b/>
          <w:bCs/>
          <w:sz w:val="36"/>
          <w:szCs w:val="36"/>
        </w:rPr>
      </w:pPr>
    </w:p>
    <w:p>
      <w:pPr>
        <w:rPr>
          <w:b/>
          <w:bCs/>
          <w:sz w:val="36"/>
          <w:szCs w:val="36"/>
        </w:rPr>
      </w:pPr>
    </w:p>
    <w:p>
      <w:pPr>
        <w:rPr>
          <w:b/>
          <w:bCs/>
          <w:sz w:val="36"/>
          <w:szCs w:val="36"/>
        </w:rPr>
      </w:pPr>
    </w:p>
    <w:p>
      <w:pPr>
        <w:spacing w:before="100" w:beforeAutospacing="1" w:after="100" w:afterAutospacing="1" w:line="480" w:lineRule="auto"/>
        <w:rPr>
          <w:rFonts w:ascii="黑体" w:eastAsia="黑体"/>
          <w:sz w:val="36"/>
          <w:szCs w:val="36"/>
        </w:rPr>
      </w:pPr>
      <w:r>
        <w:rPr>
          <w:szCs w:val="21"/>
        </w:rPr>
        <w:pict>
          <v:line id="_x0000_s2053" o:spid="_x0000_s2053" o:spt="20" style="position:absolute;left:0pt;margin-left:139.85pt;margin-top:37.6pt;height:0pt;width:238.15pt;z-index:251660288;mso-width-relative:page;mso-height-relative:page;" coordsize="21600,21600" o:gfxdata="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Wyz3u1wAAAAkBAAAPAAAAAAAAAAEAIAAAACIAAABkcnMvZG93bnJldi54bWxQSwEC&#10;FAAUAAAACACHTuJAhdZoy/UBAADkAwAADgAAAAAAAAABACAAAAAmAQAAZHJzL2Uyb0RvYy54bWxQ&#10;SwUGAAAAAAYABgBZAQAAjQUAAAAA&#10;">
            <v:path arrowok="t"/>
            <v:fill focussize="0,0"/>
            <v:stroke/>
            <v:imagedata o:title=""/>
            <o:lock v:ext="edit"/>
          </v:line>
        </w:pict>
      </w:r>
      <w:r>
        <w:rPr>
          <w:rFonts w:hint="eastAsia" w:ascii="黑体" w:eastAsia="黑体" w:cs="黑体"/>
          <w:sz w:val="36"/>
          <w:szCs w:val="36"/>
        </w:rPr>
        <w:t xml:space="preserve">拟稿人：   </w:t>
      </w:r>
    </w:p>
    <w:p>
      <w:pPr>
        <w:spacing w:before="100" w:beforeAutospacing="1" w:after="100" w:afterAutospacing="1" w:line="480" w:lineRule="auto"/>
        <w:rPr>
          <w:rFonts w:ascii="黑体" w:eastAsia="黑体"/>
          <w:sz w:val="36"/>
          <w:szCs w:val="36"/>
        </w:rPr>
      </w:pPr>
      <w:r>
        <w:rPr>
          <w:szCs w:val="21"/>
        </w:rPr>
        <w:pict>
          <v:line id="_x0000_s2052" o:spid="_x0000_s2052" o:spt="20" style="position:absolute;left:0pt;margin-left:143.6pt;margin-top:25.2pt;height:0pt;width:234.4pt;z-index:251661312;mso-width-relative:page;mso-height-relative:page;" coordsize="21600,21600" o:gfxdata="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791bWAAAACQEAAA8AAAAAAAAAAQAgAAAAIgAAAGRycy9kb3ducmV2LnhtbFBLAQIU&#10;ABQAAAAIAIdO4kDG7RKK9QEAAOQDAAAOAAAAAAAAAAEAIAAAACUBAABkcnMvZTJvRG9jLnhtbFBL&#10;BQYAAAAABgAGAFkBAACMBQAAAAA=&#10;">
            <v:path arrowok="t"/>
            <v:fill focussize="0,0"/>
            <v:stroke/>
            <v:imagedata o:title=""/>
            <o:lock v:ext="edit"/>
          </v:line>
        </w:pict>
      </w:r>
      <w:r>
        <w:rPr>
          <w:rFonts w:hint="eastAsia" w:ascii="黑体" w:eastAsia="黑体" w:cs="黑体"/>
          <w:sz w:val="36"/>
          <w:szCs w:val="36"/>
        </w:rPr>
        <w:t>部门审核：</w:t>
      </w:r>
    </w:p>
    <w:p>
      <w:pPr>
        <w:spacing w:before="100" w:beforeAutospacing="1" w:after="100" w:afterAutospacing="1" w:line="480" w:lineRule="auto"/>
        <w:rPr>
          <w:rFonts w:ascii="黑体" w:eastAsia="黑体" w:cs="黑体"/>
          <w:sz w:val="36"/>
          <w:szCs w:val="36"/>
          <w:u w:val="single"/>
        </w:rPr>
      </w:pPr>
      <w:r>
        <w:rPr>
          <w:szCs w:val="21"/>
        </w:rPr>
        <w:pict>
          <v:line id="_x0000_s2051" o:spid="_x0000_s2051" o:spt="20" style="position:absolute;left:0pt;margin-left:143.6pt;margin-top:26.8pt;height:0pt;width:234.4pt;z-index:251662336;mso-width-relative:page;mso-height-relative:page;" coordsize="21600,21600" o:gfxdata="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4Bsm1wAAAAkBAAAPAAAAAAAAAAEAIAAAACIAAABkcnMvZG93bnJldi54bWxQSwEC&#10;FAAUAAAACACHTuJA14Z25/UBAADkAwAADgAAAAAAAAABACAAAAAmAQAAZHJzL2Uyb0RvYy54bWxQ&#10;SwUGAAAAAAYABgBZAQAAjQUAAAAA&#10;">
            <v:path arrowok="t"/>
            <v:fill focussize="0,0"/>
            <v:stroke/>
            <v:imagedata o:title=""/>
            <o:lock v:ext="edit"/>
          </v:line>
        </w:pict>
      </w:r>
      <w:r>
        <w:rPr>
          <w:rFonts w:hint="eastAsia" w:ascii="黑体" w:eastAsia="黑体" w:cs="黑体"/>
          <w:sz w:val="36"/>
          <w:szCs w:val="36"/>
        </w:rPr>
        <w:t>主管领导审核：</w:t>
      </w:r>
    </w:p>
    <w:p>
      <w:pPr>
        <w:spacing w:before="100" w:beforeAutospacing="1" w:after="100" w:afterAutospacing="1" w:line="480" w:lineRule="auto"/>
        <w:rPr>
          <w:rFonts w:ascii="黑体" w:eastAsia="黑体"/>
          <w:sz w:val="36"/>
          <w:szCs w:val="36"/>
          <w:u w:val="single"/>
        </w:rPr>
      </w:pPr>
      <w:r>
        <w:rPr>
          <w:rFonts w:hint="eastAsia" w:ascii="黑体" w:eastAsia="黑体" w:cs="黑体"/>
          <w:sz w:val="36"/>
          <w:szCs w:val="36"/>
        </w:rPr>
        <w:t>质量受权人审批：</w:t>
      </w:r>
      <w:r>
        <w:rPr>
          <w:rFonts w:hint="eastAsia" w:ascii="黑体" w:eastAsia="黑体" w:cs="黑体"/>
          <w:sz w:val="36"/>
          <w:szCs w:val="36"/>
          <w:u w:val="single"/>
        </w:rPr>
        <w:t xml:space="preserve">                          </w:t>
      </w:r>
    </w:p>
    <w:p>
      <w:pPr>
        <w:spacing w:before="100" w:beforeAutospacing="1" w:after="100" w:afterAutospacing="1" w:line="480" w:lineRule="auto"/>
        <w:rPr>
          <w:rFonts w:ascii="黑体" w:eastAsia="黑体"/>
          <w:sz w:val="36"/>
          <w:szCs w:val="36"/>
        </w:rPr>
      </w:pPr>
      <w:r>
        <w:rPr>
          <w:szCs w:val="21"/>
        </w:rPr>
        <w:pict>
          <v:line id="_x0000_s2050" o:spid="_x0000_s2050" o:spt="20" style="position:absolute;left:0pt;margin-left:147.35pt;margin-top:28.4pt;height:0pt;width:230.65pt;z-index:251663360;mso-width-relative:page;mso-height-relative:page;" coordsize="21600,21600" o:gfxdata="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B2lDNcAAAAJAQAADwAAAAAAAAABACAAAAAiAAAAZHJzL2Rvd25yZXYueG1sUEsBAhQA&#10;FAAAAAgAh07iQEzVN/LzAQAA5gMAAA4AAAAAAAAAAQAgAAAAJgEAAGRycy9lMm9Eb2MueG1sUEsF&#10;BgAAAAAGAAYAWQEAAIsFAAAAAA==&#10;">
            <v:path arrowok="t"/>
            <v:fill focussize="0,0"/>
            <v:stroke/>
            <v:imagedata o:title=""/>
            <o:lock v:ext="edit"/>
          </v:line>
        </w:pict>
      </w:r>
      <w:r>
        <w:rPr>
          <w:rFonts w:hint="eastAsia" w:ascii="黑体" w:eastAsia="黑体" w:cs="黑体"/>
          <w:sz w:val="36"/>
          <w:szCs w:val="36"/>
        </w:rPr>
        <w:t>审核时间：</w:t>
      </w:r>
    </w:p>
    <w:p>
      <w:pPr>
        <w:spacing w:line="360" w:lineRule="auto"/>
        <w:jc w:val="center"/>
        <w:rPr>
          <w:rFonts w:ascii="宋体" w:hAnsi="宋体"/>
          <w:b/>
          <w:sz w:val="28"/>
          <w:szCs w:val="28"/>
        </w:rPr>
        <w:sectPr>
          <w:footerReference r:id="rId3" w:type="default"/>
          <w:pgSz w:w="11906" w:h="16838"/>
          <w:pgMar w:top="1440" w:right="1298" w:bottom="1440" w:left="1361" w:header="397" w:footer="850" w:gutter="0"/>
          <w:pgNumType w:start="0"/>
          <w:cols w:space="720" w:num="1"/>
          <w:docGrid w:linePitch="326" w:charSpace="0"/>
        </w:sectPr>
      </w:pPr>
    </w:p>
    <w:p>
      <w:pPr>
        <w:spacing w:line="360" w:lineRule="auto"/>
        <w:rPr>
          <w:rFonts w:ascii="宋体" w:hAnsi="宋体"/>
          <w:b/>
          <w:sz w:val="28"/>
          <w:szCs w:val="28"/>
        </w:rPr>
      </w:pPr>
      <w:r>
        <w:rPr>
          <w:rFonts w:hint="eastAsia" w:ascii="宋体" w:hAnsi="宋体"/>
          <w:b/>
          <w:sz w:val="28"/>
          <w:szCs w:val="28"/>
        </w:rPr>
        <w:t>一、概况</w:t>
      </w:r>
    </w:p>
    <w:p>
      <w:pPr>
        <w:spacing w:line="360" w:lineRule="auto"/>
        <w:rPr>
          <w:rFonts w:ascii="宋体" w:hAnsi="宋体"/>
          <w:sz w:val="24"/>
          <w:szCs w:val="24"/>
        </w:rPr>
      </w:pPr>
      <w:r>
        <w:rPr>
          <w:rFonts w:hint="eastAsia" w:ascii="宋体" w:hAnsi="宋体"/>
          <w:sz w:val="24"/>
          <w:szCs w:val="24"/>
        </w:rPr>
        <w:t>1. 项目概况</w:t>
      </w:r>
    </w:p>
    <w:p>
      <w:pPr>
        <w:spacing w:line="360" w:lineRule="auto"/>
        <w:ind w:firstLine="480" w:firstLineChars="200"/>
        <w:rPr>
          <w:rFonts w:ascii="宋体" w:hAnsi="宋体"/>
          <w:sz w:val="24"/>
          <w:szCs w:val="24"/>
        </w:rPr>
      </w:pPr>
      <w:r>
        <w:rPr>
          <w:rFonts w:hint="eastAsia" w:ascii="宋体" w:hAnsi="宋体"/>
          <w:sz w:val="24"/>
          <w:szCs w:val="24"/>
        </w:rPr>
        <w:t>广州白云山明兴制药有限公司位于广州市海珠区工业大道北48号，现我司制造一部准备购置一条</w:t>
      </w:r>
      <w:r>
        <w:rPr>
          <w:rFonts w:hint="eastAsia" w:ascii="宋体" w:hAnsi="宋体"/>
          <w:bCs/>
          <w:sz w:val="24"/>
          <w:szCs w:val="24"/>
        </w:rPr>
        <w:t>安瓿瓶分托贴标入托</w:t>
      </w:r>
      <w:r>
        <w:rPr>
          <w:rFonts w:hint="eastAsia" w:ascii="宋体" w:hAnsi="宋体"/>
          <w:bCs/>
          <w:sz w:val="24"/>
          <w:szCs w:val="24"/>
          <w:lang w:val="en-US" w:eastAsia="zh-CN"/>
        </w:rPr>
        <w:t>防爆</w:t>
      </w:r>
      <w:r>
        <w:rPr>
          <w:rFonts w:hint="eastAsia" w:ascii="宋体" w:hAnsi="宋体"/>
          <w:bCs/>
          <w:sz w:val="24"/>
          <w:szCs w:val="24"/>
        </w:rPr>
        <w:t>包装线；产能</w:t>
      </w:r>
      <w:r>
        <w:rPr>
          <w:rFonts w:hint="eastAsia" w:ascii="宋体" w:hAnsi="宋体"/>
          <w:bCs/>
          <w:sz w:val="24"/>
          <w:szCs w:val="24"/>
          <w:lang w:val="en-US" w:eastAsia="zh-CN"/>
        </w:rPr>
        <w:t>≥500</w:t>
      </w:r>
      <w:r>
        <w:rPr>
          <w:rFonts w:hint="eastAsia" w:ascii="宋体" w:hAnsi="宋体"/>
          <w:bCs/>
          <w:sz w:val="24"/>
          <w:szCs w:val="24"/>
        </w:rPr>
        <w:t>瓶/分钟。</w:t>
      </w:r>
      <w:r>
        <w:rPr>
          <w:rFonts w:hint="eastAsia" w:ascii="宋体" w:hAnsi="宋体"/>
          <w:bCs/>
          <w:sz w:val="24"/>
          <w:szCs w:val="24"/>
          <w:lang w:val="en-US" w:eastAsia="zh-CN"/>
        </w:rPr>
        <w:t>安装在</w:t>
      </w:r>
      <w:r>
        <w:rPr>
          <w:rFonts w:hint="eastAsia" w:ascii="宋体" w:hAnsi="宋体"/>
          <w:sz w:val="24"/>
          <w:szCs w:val="24"/>
        </w:rPr>
        <w:t>广州白云山明兴制药有限公司</w:t>
      </w:r>
      <w:r>
        <w:rPr>
          <w:rFonts w:hint="eastAsia" w:ascii="宋体" w:hAnsi="宋体"/>
          <w:sz w:val="24"/>
          <w:szCs w:val="24"/>
          <w:lang w:val="en-US" w:eastAsia="zh-CN"/>
        </w:rPr>
        <w:t>白云厂区位于白云区钟落潭镇长腰岭村永安街18号。</w:t>
      </w:r>
      <w:r>
        <w:rPr>
          <w:rFonts w:hint="eastAsia" w:ascii="宋体" w:hAnsi="宋体"/>
          <w:sz w:val="24"/>
          <w:szCs w:val="24"/>
        </w:rPr>
        <w:t>供应商应提供包括深化设计、设备运输、安装指导、调试、验收、培训和售后服务保障在内的相关服务。</w:t>
      </w:r>
    </w:p>
    <w:p>
      <w:pPr>
        <w:spacing w:line="360" w:lineRule="auto"/>
        <w:rPr>
          <w:rFonts w:ascii="宋体" w:hAnsi="宋体"/>
          <w:sz w:val="24"/>
          <w:szCs w:val="24"/>
        </w:rPr>
      </w:pPr>
      <w:r>
        <w:rPr>
          <w:rFonts w:hint="eastAsia" w:ascii="宋体" w:hAnsi="宋体"/>
          <w:sz w:val="24"/>
          <w:szCs w:val="24"/>
        </w:rPr>
        <w:t>2.合格投标人条件：</w:t>
      </w:r>
    </w:p>
    <w:p>
      <w:pPr>
        <w:spacing w:line="360" w:lineRule="auto"/>
        <w:rPr>
          <w:rFonts w:ascii="宋体" w:hAnsi="宋体"/>
          <w:sz w:val="24"/>
          <w:szCs w:val="24"/>
        </w:rPr>
      </w:pPr>
      <w:r>
        <w:rPr>
          <w:rFonts w:hint="eastAsia" w:ascii="宋体" w:hAnsi="宋体"/>
          <w:sz w:val="24"/>
          <w:szCs w:val="24"/>
        </w:rPr>
        <w:t>2.1、投标人具有独立承担民事责任能力的在中华人民共和国境内依法注册的法人，独立于招标人和招标代理机构。</w:t>
      </w:r>
    </w:p>
    <w:p>
      <w:pPr>
        <w:spacing w:line="360" w:lineRule="auto"/>
        <w:rPr>
          <w:rFonts w:ascii="宋体" w:hAnsi="宋体"/>
          <w:sz w:val="24"/>
          <w:szCs w:val="24"/>
        </w:rPr>
      </w:pPr>
      <w:r>
        <w:rPr>
          <w:rFonts w:hint="eastAsia" w:ascii="宋体" w:hAnsi="宋体"/>
          <w:sz w:val="24"/>
          <w:szCs w:val="24"/>
        </w:rPr>
        <w:t>2.2、投标人必须是</w:t>
      </w:r>
      <w:r>
        <w:rPr>
          <w:rFonts w:hint="eastAsia" w:ascii="宋体" w:hAnsi="宋体"/>
          <w:bCs/>
          <w:sz w:val="24"/>
          <w:szCs w:val="24"/>
        </w:rPr>
        <w:t>安瓿瓶分托贴标入托包装线</w:t>
      </w:r>
      <w:r>
        <w:rPr>
          <w:rFonts w:hint="eastAsia" w:ascii="宋体" w:hAnsi="宋体"/>
          <w:sz w:val="24"/>
          <w:szCs w:val="24"/>
        </w:rPr>
        <w:t>主要设备的制造商。</w:t>
      </w:r>
    </w:p>
    <w:p>
      <w:pPr>
        <w:spacing w:line="360" w:lineRule="auto"/>
        <w:rPr>
          <w:rFonts w:ascii="宋体" w:hAnsi="宋体"/>
          <w:sz w:val="24"/>
          <w:szCs w:val="24"/>
        </w:rPr>
      </w:pPr>
      <w:r>
        <w:rPr>
          <w:rFonts w:hint="eastAsia" w:ascii="宋体" w:hAnsi="宋体"/>
          <w:sz w:val="24"/>
          <w:szCs w:val="24"/>
        </w:rPr>
        <w:t>2.3、不接受联合体投标。</w:t>
      </w:r>
    </w:p>
    <w:p>
      <w:pPr>
        <w:spacing w:line="360" w:lineRule="auto"/>
        <w:rPr>
          <w:rFonts w:ascii="宋体" w:hAnsi="宋体"/>
          <w:sz w:val="24"/>
          <w:szCs w:val="24"/>
        </w:rPr>
      </w:pPr>
      <w:r>
        <w:rPr>
          <w:rFonts w:hint="eastAsia" w:ascii="宋体" w:hAnsi="宋体"/>
          <w:sz w:val="24"/>
          <w:szCs w:val="24"/>
        </w:rPr>
        <w:t>3. 招标范围及内容</w:t>
      </w:r>
    </w:p>
    <w:p>
      <w:pPr>
        <w:spacing w:line="400" w:lineRule="exact"/>
        <w:rPr>
          <w:sz w:val="24"/>
        </w:rPr>
      </w:pPr>
      <w:r>
        <w:rPr>
          <w:rFonts w:hint="eastAsia" w:ascii="宋体" w:hAnsi="宋体"/>
          <w:color w:val="000000"/>
          <w:sz w:val="24"/>
          <w:szCs w:val="24"/>
        </w:rPr>
        <w:t>1）</w:t>
      </w:r>
      <w:r>
        <w:rPr>
          <w:rFonts w:hint="eastAsia" w:ascii="宋体" w:hAnsi="宋体"/>
          <w:sz w:val="24"/>
          <w:szCs w:val="24"/>
        </w:rPr>
        <w:t>一条</w:t>
      </w:r>
      <w:r>
        <w:rPr>
          <w:rFonts w:hint="eastAsia" w:ascii="宋体" w:hAnsi="宋体"/>
          <w:bCs/>
          <w:sz w:val="24"/>
          <w:szCs w:val="24"/>
        </w:rPr>
        <w:t>安瓿瓶分托贴标入托包装</w:t>
      </w:r>
      <w:r>
        <w:rPr>
          <w:rFonts w:hint="eastAsia" w:ascii="宋体" w:hAnsi="宋体"/>
          <w:color w:val="000000"/>
          <w:sz w:val="24"/>
          <w:szCs w:val="24"/>
        </w:rPr>
        <w:t>，</w:t>
      </w:r>
      <w:r>
        <w:rPr>
          <w:rFonts w:hint="eastAsia" w:ascii="宋体"/>
          <w:color w:val="000000"/>
          <w:sz w:val="24"/>
        </w:rPr>
        <w:t>用于安瓿瓶包装生产。</w:t>
      </w:r>
      <w:r>
        <w:rPr>
          <w:rFonts w:ascii="宋体" w:hAnsi="宋体"/>
          <w:sz w:val="24"/>
        </w:rPr>
        <w:t>立式进瓶</w:t>
      </w:r>
      <w:r>
        <w:rPr>
          <w:rFonts w:hint="eastAsia" w:ascii="宋体" w:hAnsi="宋体"/>
          <w:sz w:val="24"/>
        </w:rPr>
        <w:t>-</w:t>
      </w:r>
      <w:r>
        <w:rPr>
          <w:rFonts w:ascii="宋体" w:hAnsi="宋体"/>
          <w:sz w:val="24"/>
        </w:rPr>
        <w:t>-卧式贴标</w:t>
      </w:r>
      <w:r>
        <w:rPr>
          <w:rFonts w:hint="eastAsia" w:ascii="宋体" w:hAnsi="宋体"/>
          <w:sz w:val="24"/>
        </w:rPr>
        <w:t>（瓶贴打印）-</w:t>
      </w:r>
      <w:r>
        <w:rPr>
          <w:rFonts w:ascii="宋体" w:hAnsi="宋体"/>
          <w:sz w:val="24"/>
        </w:rPr>
        <w:t>-</w:t>
      </w:r>
      <w:r>
        <w:rPr>
          <w:rFonts w:hint="eastAsia" w:ascii="宋体" w:hAnsi="宋体"/>
          <w:sz w:val="24"/>
          <w:lang w:val="en-US" w:eastAsia="zh-CN"/>
        </w:rPr>
        <w:t>标签漏印缺字检测--</w:t>
      </w:r>
      <w:r>
        <w:rPr>
          <w:rFonts w:ascii="宋体" w:hAnsi="宋体"/>
          <w:sz w:val="24"/>
        </w:rPr>
        <w:t>漏贴标检测及剔除</w:t>
      </w:r>
      <w:r>
        <w:rPr>
          <w:rFonts w:hint="eastAsia" w:ascii="宋体" w:hAnsi="宋体"/>
          <w:sz w:val="24"/>
          <w:lang w:val="en-US" w:eastAsia="zh-CN"/>
        </w:rPr>
        <w:t>--</w:t>
      </w:r>
      <w:r>
        <w:rPr>
          <w:rFonts w:hint="eastAsia" w:ascii="宋体" w:hAnsi="宋体"/>
          <w:sz w:val="24"/>
        </w:rPr>
        <w:t>自动分托及</w:t>
      </w:r>
      <w:r>
        <w:rPr>
          <w:rFonts w:ascii="宋体" w:hAnsi="宋体"/>
          <w:sz w:val="24"/>
        </w:rPr>
        <w:t>自动入托</w:t>
      </w:r>
      <w:r>
        <w:rPr>
          <w:rFonts w:hint="eastAsia" w:ascii="宋体" w:hAnsi="宋体"/>
          <w:sz w:val="24"/>
          <w:lang w:val="en-US" w:eastAsia="zh-CN"/>
        </w:rPr>
        <w:t>--爬坡输送托盘转向--缺支漏贴检测及剔除</w:t>
      </w:r>
      <w:r>
        <w:rPr>
          <w:rFonts w:hint="eastAsia" w:ascii="宋体"/>
          <w:color w:val="000000"/>
          <w:sz w:val="24"/>
        </w:rPr>
        <w:t>。</w:t>
      </w:r>
    </w:p>
    <w:p>
      <w:pPr>
        <w:spacing w:line="360" w:lineRule="auto"/>
        <w:rPr>
          <w:sz w:val="24"/>
          <w:szCs w:val="24"/>
        </w:rPr>
      </w:pPr>
      <w:r>
        <w:rPr>
          <w:rFonts w:hint="eastAsia" w:ascii="宋体" w:hAnsi="宋体"/>
          <w:b/>
          <w:sz w:val="28"/>
          <w:szCs w:val="28"/>
        </w:rPr>
        <w:t>二、技术规格</w:t>
      </w:r>
      <w:r>
        <w:rPr>
          <w:rFonts w:hint="eastAsia" w:ascii="宋体" w:hAnsi="宋体"/>
          <w:sz w:val="28"/>
          <w:szCs w:val="28"/>
        </w:rPr>
        <w:t xml:space="preserve">： </w:t>
      </w:r>
      <w:bookmarkStart w:id="0" w:name="_Toc242689203"/>
    </w:p>
    <w:p>
      <w:pPr>
        <w:rPr>
          <w:b/>
          <w:bCs/>
          <w:sz w:val="24"/>
          <w:szCs w:val="24"/>
        </w:rPr>
      </w:pPr>
    </w:p>
    <w:p>
      <w:pPr>
        <w:rPr>
          <w:b/>
          <w:bCs/>
          <w:sz w:val="24"/>
          <w:szCs w:val="24"/>
        </w:rPr>
      </w:pPr>
    </w:p>
    <w:tbl>
      <w:tblPr>
        <w:tblStyle w:val="8"/>
        <w:tblW w:w="852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5463"/>
        <w:gridCol w:w="132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shd w:val="clear" w:color="auto" w:fill="A4A4A4" w:themeFill="background1" w:themeFillShade="A5"/>
            <w:vAlign w:val="center"/>
          </w:tcPr>
          <w:p>
            <w:pPr>
              <w:spacing w:line="360" w:lineRule="auto"/>
              <w:ind w:leftChars="-95" w:right="-265" w:rightChars="-126" w:hanging="199" w:hangingChars="83"/>
              <w:jc w:val="center"/>
              <w:rPr>
                <w:rFonts w:ascii="宋体" w:hAnsi="宋体"/>
                <w:color w:val="000000"/>
                <w:sz w:val="24"/>
                <w:szCs w:val="24"/>
              </w:rPr>
            </w:pPr>
            <w:bookmarkStart w:id="1" w:name="_Toc242689200"/>
            <w:r>
              <w:rPr>
                <w:rFonts w:hint="eastAsia" w:ascii="宋体" w:hAnsi="宋体"/>
                <w:color w:val="000000"/>
                <w:sz w:val="24"/>
                <w:szCs w:val="24"/>
              </w:rPr>
              <w:t>编号</w:t>
            </w:r>
          </w:p>
        </w:tc>
        <w:tc>
          <w:tcPr>
            <w:tcW w:w="5463" w:type="dxa"/>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color w:val="000000"/>
                <w:sz w:val="24"/>
                <w:szCs w:val="24"/>
              </w:rPr>
              <w:t>需求</w:t>
            </w:r>
          </w:p>
        </w:tc>
        <w:tc>
          <w:tcPr>
            <w:tcW w:w="1328" w:type="dxa"/>
            <w:shd w:val="clear" w:color="auto" w:fill="A4A4A4" w:themeFill="background1" w:themeFillShade="A5"/>
            <w:vAlign w:val="center"/>
          </w:tcPr>
          <w:p>
            <w:pPr>
              <w:spacing w:line="360" w:lineRule="auto"/>
              <w:jc w:val="center"/>
              <w:rPr>
                <w:rFonts w:ascii="宋体"/>
                <w:color w:val="000000"/>
                <w:sz w:val="24"/>
                <w:szCs w:val="24"/>
              </w:rPr>
            </w:pPr>
            <w:r>
              <w:rPr>
                <w:rFonts w:hint="eastAsia" w:ascii="宋体"/>
                <w:color w:val="000000"/>
                <w:sz w:val="24"/>
                <w:szCs w:val="24"/>
              </w:rPr>
              <w:t>期望/必需</w:t>
            </w:r>
          </w:p>
        </w:tc>
        <w:tc>
          <w:tcPr>
            <w:tcW w:w="876" w:type="dxa"/>
            <w:shd w:val="clear" w:color="auto" w:fill="A4A4A4" w:themeFill="background1" w:themeFillShade="A5"/>
            <w:vAlign w:val="center"/>
          </w:tcPr>
          <w:p>
            <w:pPr>
              <w:spacing w:line="360" w:lineRule="auto"/>
              <w:jc w:val="center"/>
              <w:rPr>
                <w:rFonts w:ascii="宋体"/>
                <w:color w:val="000000"/>
                <w:sz w:val="24"/>
                <w:szCs w:val="24"/>
              </w:rPr>
            </w:pPr>
            <w:r>
              <w:rPr>
                <w:rFonts w:hint="eastAsia" w:asci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color w:val="000000"/>
                <w:sz w:val="24"/>
                <w:szCs w:val="24"/>
              </w:rPr>
            </w:pPr>
            <w:r>
              <w:rPr>
                <w:rFonts w:ascii="宋体"/>
                <w:color w:val="000000"/>
                <w:sz w:val="24"/>
                <w:szCs w:val="24"/>
              </w:rPr>
              <w:t>设备工艺或性能要求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line="360" w:lineRule="auto"/>
              <w:rPr>
                <w:rFonts w:hint="default" w:ascii="宋体" w:hAnsi="宋体" w:eastAsia="宋体"/>
                <w:sz w:val="24"/>
                <w:lang w:val="en-US" w:eastAsia="zh-CN"/>
              </w:rPr>
            </w:pPr>
            <w:r>
              <w:rPr>
                <w:rFonts w:hint="eastAsia" w:ascii="宋体" w:hAnsi="宋体"/>
                <w:sz w:val="24"/>
                <w:lang w:val="en-US" w:eastAsia="zh-CN"/>
              </w:rPr>
              <w:t>整机采用防爆设计，防爆电柜、防爆线路接口、防爆电机等防爆电气控制系统</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line="360" w:lineRule="auto"/>
              <w:rPr>
                <w:rFonts w:ascii="宋体" w:hAnsi="宋体"/>
                <w:color w:val="000000"/>
                <w:sz w:val="24"/>
                <w:szCs w:val="24"/>
              </w:rPr>
            </w:pPr>
            <w:r>
              <w:rPr>
                <w:rFonts w:hint="eastAsia" w:ascii="宋体" w:hAnsi="宋体"/>
                <w:sz w:val="24"/>
              </w:rPr>
              <w:t>配置分托机、贴标机、入托机和</w:t>
            </w:r>
            <w:r>
              <w:rPr>
                <w:rFonts w:hint="eastAsia" w:ascii="宋体" w:hAnsi="宋体"/>
                <w:sz w:val="24"/>
                <w:lang w:val="en-US" w:eastAsia="zh-CN"/>
              </w:rPr>
              <w:t>爬坡及含转向机构</w:t>
            </w:r>
            <w:r>
              <w:rPr>
                <w:rFonts w:hint="eastAsia" w:ascii="宋体" w:hAnsi="宋体"/>
                <w:sz w:val="24"/>
              </w:rPr>
              <w:t>输送带</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line="360" w:lineRule="auto"/>
              <w:rPr>
                <w:rFonts w:hint="eastAsia" w:ascii="宋体" w:hAnsi="宋体"/>
                <w:sz w:val="24"/>
              </w:rPr>
            </w:pPr>
            <w:r>
              <w:rPr>
                <w:rFonts w:hint="eastAsia" w:ascii="宋体" w:hAnsi="宋体"/>
                <w:sz w:val="24"/>
              </w:rPr>
              <w:t>单条联动线稳定运行产量≥</w:t>
            </w:r>
            <w:r>
              <w:rPr>
                <w:rFonts w:hint="eastAsia" w:ascii="宋体" w:hAnsi="宋体"/>
                <w:sz w:val="24"/>
                <w:lang w:val="en-US" w:eastAsia="zh-CN"/>
              </w:rPr>
              <w:t>50</w:t>
            </w:r>
            <w:r>
              <w:rPr>
                <w:rFonts w:hint="eastAsia" w:ascii="宋体" w:hAnsi="宋体"/>
                <w:sz w:val="24"/>
              </w:rPr>
              <w:t>托/min（以</w:t>
            </w:r>
            <w:r>
              <w:rPr>
                <w:rFonts w:hint="eastAsia" w:ascii="宋体" w:hAnsi="宋体"/>
                <w:sz w:val="24"/>
                <w:lang w:val="en-US" w:eastAsia="zh-CN"/>
              </w:rPr>
              <w:t>10支/托</w:t>
            </w:r>
            <w:r>
              <w:rPr>
                <w:rFonts w:hint="eastAsia" w:ascii="宋体" w:hAnsi="宋体"/>
                <w:sz w:val="24"/>
              </w:rPr>
              <w:t>）</w:t>
            </w:r>
          </w:p>
          <w:p>
            <w:pPr>
              <w:spacing w:line="360" w:lineRule="auto"/>
              <w:rPr>
                <w:rFonts w:hint="eastAsia" w:ascii="宋体" w:hAnsi="宋体"/>
                <w:sz w:val="24"/>
              </w:rPr>
            </w:pPr>
            <w:r>
              <w:rPr>
                <w:rFonts w:hint="eastAsia" w:ascii="宋体" w:hAnsi="宋体"/>
                <w:sz w:val="24"/>
              </w:rPr>
              <w:t>单条联动线稳定运行产量≥</w:t>
            </w:r>
            <w:r>
              <w:rPr>
                <w:rFonts w:hint="eastAsia" w:ascii="宋体" w:hAnsi="宋体"/>
                <w:sz w:val="24"/>
                <w:lang w:val="en-US" w:eastAsia="zh-CN"/>
              </w:rPr>
              <w:t>100</w:t>
            </w:r>
            <w:r>
              <w:rPr>
                <w:rFonts w:hint="eastAsia" w:ascii="宋体" w:hAnsi="宋体"/>
                <w:sz w:val="24"/>
              </w:rPr>
              <w:t>托/min（以</w:t>
            </w:r>
            <w:r>
              <w:rPr>
                <w:rFonts w:hint="eastAsia" w:ascii="宋体" w:hAnsi="宋体"/>
                <w:sz w:val="24"/>
                <w:lang w:val="en-US" w:eastAsia="zh-CN"/>
              </w:rPr>
              <w:t>5</w:t>
            </w:r>
            <w:r>
              <w:rPr>
                <w:rFonts w:hint="eastAsia" w:ascii="宋体" w:hAnsi="宋体"/>
                <w:sz w:val="24"/>
              </w:rPr>
              <w:t>支</w:t>
            </w:r>
            <w:r>
              <w:rPr>
                <w:rFonts w:hint="eastAsia" w:ascii="宋体" w:hAnsi="宋体"/>
                <w:sz w:val="24"/>
                <w:lang w:val="en-US" w:eastAsia="zh-CN"/>
              </w:rPr>
              <w:t>/托</w:t>
            </w:r>
            <w:r>
              <w:rPr>
                <w:rFonts w:hint="eastAsia" w:ascii="宋体" w:hAnsi="宋体"/>
                <w:sz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line="360" w:lineRule="auto"/>
              <w:rPr>
                <w:rFonts w:hint="eastAsia" w:ascii="宋体" w:hAnsi="宋体" w:eastAsia="宋体"/>
                <w:color w:val="000000"/>
                <w:sz w:val="24"/>
                <w:szCs w:val="24"/>
                <w:lang w:val="en-US" w:eastAsia="zh-CN"/>
              </w:rPr>
            </w:pPr>
            <w:r>
              <w:rPr>
                <w:rFonts w:hint="eastAsia" w:ascii="宋体" w:hAnsi="宋体"/>
                <w:sz w:val="24"/>
              </w:rPr>
              <w:t>适用规格：</w:t>
            </w:r>
            <w:r>
              <w:rPr>
                <w:rFonts w:hint="eastAsia" w:ascii="宋体" w:hAnsi="宋体"/>
                <w:sz w:val="24"/>
                <w:lang w:val="en-US" w:eastAsia="zh-CN"/>
              </w:rPr>
              <w:t>1ml</w:t>
            </w:r>
            <w:r>
              <w:rPr>
                <w:rFonts w:hint="eastAsia" w:ascii="宋体" w:hAnsi="宋体"/>
                <w:sz w:val="24"/>
              </w:rPr>
              <w:t>安瓿瓶产品</w:t>
            </w:r>
            <w:r>
              <w:rPr>
                <w:rFonts w:hint="eastAsia" w:ascii="宋体" w:hAnsi="宋体"/>
                <w:sz w:val="24"/>
                <w:lang w:eastAsia="zh-CN"/>
              </w:rPr>
              <w:t>（</w:t>
            </w:r>
            <w:r>
              <w:rPr>
                <w:rFonts w:hint="eastAsia" w:ascii="宋体" w:hAnsi="宋体"/>
                <w:sz w:val="24"/>
                <w:lang w:val="en-US" w:eastAsia="zh-CN"/>
              </w:rPr>
              <w:t>标签尺寸：30*18mm</w:t>
            </w:r>
            <w:r>
              <w:rPr>
                <w:rFonts w:hint="eastAsia" w:ascii="宋体" w:hAnsi="宋体"/>
                <w:sz w:val="24"/>
                <w:lang w:eastAsia="zh-CN"/>
              </w:rPr>
              <w:t>）</w:t>
            </w:r>
            <w:r>
              <w:rPr>
                <w:rFonts w:hint="eastAsia" w:ascii="宋体" w:hAnsi="宋体"/>
                <w:sz w:val="24"/>
              </w:rPr>
              <w:t>，对应配套</w:t>
            </w:r>
            <w:r>
              <w:rPr>
                <w:rFonts w:hint="eastAsia" w:ascii="宋体" w:hAnsi="宋体"/>
                <w:sz w:val="24"/>
                <w:lang w:val="en-US" w:eastAsia="zh-CN"/>
              </w:rPr>
              <w:t>1ml</w:t>
            </w:r>
            <w:r>
              <w:rPr>
                <w:rFonts w:hint="eastAsia" w:ascii="宋体" w:hAnsi="宋体"/>
                <w:sz w:val="24"/>
              </w:rPr>
              <w:t>规格件</w:t>
            </w:r>
            <w:r>
              <w:rPr>
                <w:rFonts w:hint="eastAsia" w:ascii="宋体" w:hAnsi="宋体"/>
                <w:sz w:val="24"/>
                <w:lang w:eastAsia="zh-CN"/>
              </w:rPr>
              <w:t>，</w:t>
            </w:r>
            <w:r>
              <w:rPr>
                <w:rFonts w:hint="eastAsia" w:ascii="宋体" w:hAnsi="宋体"/>
                <w:sz w:val="24"/>
                <w:lang w:val="en-US" w:eastAsia="zh-CN"/>
              </w:rPr>
              <w:t>可通过更换规格件适用2ml和5ml</w:t>
            </w:r>
            <w:r>
              <w:rPr>
                <w:rFonts w:hint="eastAsia" w:ascii="宋体" w:hAnsi="宋体"/>
                <w:sz w:val="24"/>
              </w:rPr>
              <w:t>安瓿瓶产品</w:t>
            </w:r>
            <w:r>
              <w:rPr>
                <w:rFonts w:hint="eastAsia" w:ascii="宋体" w:hAnsi="宋体"/>
                <w:sz w:val="24"/>
                <w:lang w:val="en-US" w:eastAsia="zh-CN"/>
              </w:rPr>
              <w:t>生产</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line="360" w:lineRule="auto"/>
              <w:rPr>
                <w:rFonts w:ascii="宋体" w:hAnsi="宋体"/>
                <w:sz w:val="24"/>
              </w:rPr>
            </w:pPr>
            <w:r>
              <w:rPr>
                <w:rFonts w:hint="eastAsia" w:ascii="宋体" w:hAnsi="宋体" w:cs="Arial"/>
                <w:color w:val="000000"/>
                <w:sz w:val="24"/>
              </w:rPr>
              <w:t>设备整体采用304不锈钢材质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line="360" w:lineRule="auto"/>
              <w:rPr>
                <w:rFonts w:ascii="宋体" w:hAnsi="宋体" w:cs="Arial"/>
                <w:color w:val="000000"/>
                <w:sz w:val="24"/>
              </w:rPr>
            </w:pPr>
            <w:r>
              <w:rPr>
                <w:rFonts w:hint="eastAsia" w:ascii="宋体" w:hAnsi="宋体" w:cs="Arial"/>
                <w:color w:val="000000"/>
                <w:sz w:val="24"/>
              </w:rPr>
              <w:t>生产技术参数可以在显示屏上显示、调整，显示车速等参数</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cs="Arial"/>
                <w:color w:val="000000"/>
                <w:sz w:val="24"/>
              </w:rPr>
              <w:t>设备运行平稳，运转速度可无级调节</w:t>
            </w:r>
          </w:p>
          <w:p>
            <w:pPr>
              <w:spacing w:before="120" w:after="120" w:line="360" w:lineRule="auto"/>
              <w:rPr>
                <w:rFonts w:ascii="宋体" w:hAnsi="宋体" w:cs="Arial"/>
                <w:color w:val="000000"/>
                <w:sz w:val="24"/>
              </w:rPr>
            </w:pPr>
            <w:r>
              <w:rPr>
                <w:rFonts w:hint="eastAsia" w:ascii="宋体" w:hAnsi="宋体" w:cs="Arial"/>
                <w:color w:val="000000"/>
                <w:sz w:val="24"/>
              </w:rPr>
              <w:t xml:space="preserve"> 1.物料在生产线上运行平稳顺畅，各机器之间过渡平稳</w:t>
            </w:r>
          </w:p>
          <w:p>
            <w:pPr>
              <w:spacing w:line="360" w:lineRule="auto"/>
              <w:rPr>
                <w:rFonts w:ascii="宋体" w:hAnsi="宋体" w:cs="Arial"/>
                <w:color w:val="000000"/>
                <w:sz w:val="24"/>
              </w:rPr>
            </w:pPr>
            <w:r>
              <w:rPr>
                <w:rFonts w:hint="eastAsia" w:ascii="宋体" w:hAnsi="宋体" w:cs="Arial"/>
                <w:color w:val="000000"/>
                <w:sz w:val="24"/>
              </w:rPr>
              <w:t xml:space="preserve"> 2.各机器之间有固定连接，在运行过程中不得产生错位和位移</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cs="Arial"/>
                <w:color w:val="000000"/>
                <w:sz w:val="24"/>
              </w:rPr>
              <w:t>机械动作准确、协调、无卡瓶现象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cs="Arial"/>
                <w:color w:val="000000"/>
                <w:sz w:val="24"/>
              </w:rPr>
              <w:t>在突然断电后恢复送电的情况下，设备必须在操作员的操作下才能程序启动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cs="Arial"/>
                <w:color w:val="000000"/>
                <w:sz w:val="24"/>
              </w:rPr>
              <w:t>采用性能可靠、控制准确、动作灵敏的电气与检测元件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cs="Arial"/>
                <w:color w:val="000000"/>
                <w:sz w:val="24"/>
              </w:rPr>
              <w:t>生产时间：年生产日300天；每天运行时间不低于16h</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cs="Arial"/>
                <w:color w:val="000000"/>
                <w:sz w:val="24"/>
              </w:rPr>
              <w:t>传动区密封装置，确保粉尘没有明显污染传动区域，传动区域的润滑油不污染药品及所在生产区域</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cs="Arial"/>
                <w:color w:val="000000"/>
                <w:sz w:val="24"/>
              </w:rPr>
            </w:pPr>
            <w:r>
              <w:rPr>
                <w:rFonts w:hint="eastAsia" w:ascii="宋体" w:hAnsi="宋体"/>
                <w:sz w:val="24"/>
              </w:rPr>
              <w:t>系统具有联线检查报警功能，如出现缺标签、标签断带、标签漏张、紧急停止、变频异常皆可随时自动停机检测及报警</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sz w:val="24"/>
              </w:rPr>
            </w:pPr>
            <w:r>
              <w:rPr>
                <w:rFonts w:hint="eastAsia" w:ascii="宋体" w:hAnsi="宋体"/>
                <w:sz w:val="24"/>
              </w:rPr>
              <w:t>提供：设备外形尺寸、重量、包装型式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sz w:val="24"/>
              </w:rPr>
            </w:pPr>
            <w:r>
              <w:rPr>
                <w:rFonts w:hint="eastAsia" w:ascii="宋体" w:hAnsi="宋体"/>
                <w:sz w:val="24"/>
              </w:rPr>
              <w:t>提供：</w:t>
            </w:r>
            <w:r>
              <w:rPr>
                <w:rFonts w:ascii="宋体" w:hAnsi="宋体"/>
                <w:sz w:val="24"/>
              </w:rPr>
              <w:t>FAT/SAT/IOPQ</w:t>
            </w:r>
            <w:r>
              <w:rPr>
                <w:rFonts w:hint="eastAsia" w:ascii="宋体" w:hAnsi="宋体"/>
                <w:sz w:val="24"/>
              </w:rPr>
              <w:t>文件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both"/>
              <w:rPr>
                <w:rFonts w:ascii="宋体" w:hAnsi="宋体"/>
                <w:color w:val="000000"/>
                <w:sz w:val="24"/>
                <w:szCs w:val="24"/>
              </w:rPr>
            </w:pPr>
          </w:p>
        </w:tc>
        <w:tc>
          <w:tcPr>
            <w:tcW w:w="5463" w:type="dxa"/>
            <w:vAlign w:val="center"/>
          </w:tcPr>
          <w:p>
            <w:pPr>
              <w:spacing w:before="120" w:after="120" w:line="360" w:lineRule="auto"/>
              <w:rPr>
                <w:rFonts w:ascii="宋体" w:hAnsi="宋体"/>
                <w:sz w:val="24"/>
              </w:rPr>
            </w:pPr>
            <w:r>
              <w:rPr>
                <w:rFonts w:hint="eastAsia" w:ascii="宋体" w:hAnsi="宋体"/>
                <w:sz w:val="24"/>
              </w:rPr>
              <w:t>设备需符合国家GMP标准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color w:val="000000"/>
                <w:sz w:val="24"/>
                <w:szCs w:val="24"/>
              </w:rPr>
              <w:t>安装区域及位置要求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cs="Arial"/>
                <w:bCs/>
                <w:color w:val="000000"/>
              </w:rPr>
              <w:t>提供设备的安装尺寸及设备重量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Arial"/>
                <w:bCs/>
                <w:color w:val="000000"/>
              </w:rPr>
            </w:pPr>
            <w:r>
              <w:rPr>
                <w:rFonts w:hint="eastAsia" w:cs="Arial"/>
                <w:bCs/>
                <w:color w:val="000000"/>
              </w:rPr>
              <w:t>设备安装在</w:t>
            </w:r>
            <w:r>
              <w:rPr>
                <w:rFonts w:hint="eastAsia" w:cs="Arial"/>
                <w:bCs/>
                <w:color w:val="000000"/>
                <w:lang w:val="en-US" w:eastAsia="zh-CN"/>
              </w:rPr>
              <w:t>防爆</w:t>
            </w:r>
            <w:r>
              <w:rPr>
                <w:rFonts w:hint="eastAsia" w:cs="Arial"/>
                <w:bCs/>
                <w:color w:val="000000"/>
              </w:rPr>
              <w:t>区域</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color w:val="000000"/>
                <w:sz w:val="24"/>
                <w:szCs w:val="24"/>
              </w:rPr>
              <w:t>安装环境要求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cs="Arial"/>
                <w:bCs/>
                <w:color w:val="000000"/>
              </w:rPr>
              <w:t>环境温度：常</w:t>
            </w:r>
            <w:r>
              <w:rPr>
                <w:rFonts w:cs="Arial"/>
                <w:bCs/>
                <w:color w:val="000000"/>
              </w:rPr>
              <w:t>温</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eastAsia" w:cs="Arial"/>
                <w:color w:val="000000"/>
              </w:rPr>
            </w:pPr>
            <w:r>
              <w:rPr>
                <w:rFonts w:hint="eastAsia" w:cs="Arial"/>
                <w:color w:val="000000"/>
                <w:lang w:val="en-US" w:eastAsia="zh-CN"/>
              </w:rPr>
              <w:t>提供设备平面布局图，可根据实际场地调整设备尺寸和摆放位置</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Arial"/>
                <w:bCs/>
                <w:color w:val="000000"/>
              </w:rPr>
            </w:pPr>
            <w:r>
              <w:rPr>
                <w:rFonts w:hint="eastAsia" w:cs="Arial"/>
                <w:color w:val="000000"/>
              </w:rPr>
              <w:t>设备周围应有足够的空间，维修区宽度不小于</w:t>
            </w:r>
            <w:r>
              <w:rPr>
                <w:rFonts w:cs="Arial"/>
                <w:color w:val="000000"/>
              </w:rPr>
              <w:t>500mm</w:t>
            </w:r>
            <w:r>
              <w:rPr>
                <w:rFonts w:hint="eastAsia" w:cs="Arial"/>
                <w:color w:val="000000"/>
              </w:rPr>
              <w:t>便于对设备进行操作和维修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color w:val="000000"/>
                <w:sz w:val="24"/>
                <w:szCs w:val="24"/>
              </w:rPr>
              <w:t>电力</w:t>
            </w:r>
            <w:r>
              <w:rPr>
                <w:rFonts w:ascii="宋体" w:hAnsi="宋体"/>
                <w:color w:val="00000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cs="Arial"/>
                <w:color w:val="000000"/>
              </w:rPr>
              <w:t>交流</w:t>
            </w:r>
            <w:r>
              <w:rPr>
                <w:rFonts w:cs="Arial"/>
                <w:color w:val="000000"/>
              </w:rPr>
              <w:t>220V</w:t>
            </w:r>
            <w:r>
              <w:rPr>
                <w:rFonts w:hint="eastAsia" w:cs="Arial"/>
                <w:color w:val="000000"/>
              </w:rPr>
              <w:t>±</w:t>
            </w:r>
            <w:r>
              <w:rPr>
                <w:rFonts w:cs="Arial"/>
                <w:color w:val="000000"/>
              </w:rPr>
              <w:t>22V</w:t>
            </w:r>
            <w:r>
              <w:rPr>
                <w:rFonts w:hint="eastAsia" w:cs="Arial"/>
                <w:color w:val="000000"/>
              </w:rPr>
              <w:t>，</w:t>
            </w:r>
            <w:r>
              <w:rPr>
                <w:rFonts w:cs="Arial"/>
                <w:color w:val="000000"/>
              </w:rPr>
              <w:t>50Hz</w:t>
            </w:r>
            <w:r>
              <w:rPr>
                <w:rFonts w:hint="eastAsia" w:cs="Arial"/>
                <w:color w:val="000000"/>
              </w:rPr>
              <w:t>±</w:t>
            </w:r>
            <w:r>
              <w:rPr>
                <w:rFonts w:cs="Arial"/>
                <w:color w:val="000000"/>
              </w:rPr>
              <w:t>1Hz</w:t>
            </w:r>
            <w:r>
              <w:rPr>
                <w:rFonts w:hint="eastAsia" w:cs="Arial"/>
                <w:color w:val="000000"/>
              </w:rPr>
              <w:t>或交流</w:t>
            </w:r>
            <w:r>
              <w:rPr>
                <w:rFonts w:cs="Arial"/>
                <w:color w:val="000000"/>
              </w:rPr>
              <w:t>3</w:t>
            </w:r>
            <w:r>
              <w:rPr>
                <w:rFonts w:hint="eastAsia" w:cs="Arial"/>
                <w:color w:val="000000"/>
                <w:lang w:val="en-US" w:eastAsia="zh-CN"/>
              </w:rPr>
              <w:t>80</w:t>
            </w:r>
            <w:r>
              <w:rPr>
                <w:rFonts w:cs="Arial"/>
                <w:color w:val="000000"/>
              </w:rPr>
              <w:t>V</w:t>
            </w:r>
            <w:r>
              <w:rPr>
                <w:rFonts w:hint="eastAsia" w:cs="Arial"/>
                <w:color w:val="000000"/>
              </w:rPr>
              <w:t>±</w:t>
            </w:r>
            <w:r>
              <w:rPr>
                <w:rFonts w:cs="Arial"/>
                <w:color w:val="000000"/>
              </w:rPr>
              <w:t>38V</w:t>
            </w:r>
            <w:r>
              <w:rPr>
                <w:rFonts w:hint="eastAsia" w:cs="Arial"/>
                <w:color w:val="000000"/>
              </w:rPr>
              <w:t>，</w:t>
            </w:r>
            <w:r>
              <w:rPr>
                <w:rFonts w:cs="Arial"/>
                <w:color w:val="000000"/>
              </w:rPr>
              <w:t>50Hz</w:t>
            </w:r>
            <w:r>
              <w:rPr>
                <w:rFonts w:hint="eastAsia" w:cs="Arial"/>
                <w:color w:val="000000"/>
              </w:rPr>
              <w:t>±</w:t>
            </w:r>
            <w:r>
              <w:rPr>
                <w:rFonts w:cs="Arial"/>
                <w:color w:val="000000"/>
              </w:rPr>
              <w:t>1Hz</w:t>
            </w:r>
            <w:r>
              <w:rPr>
                <w:rFonts w:hint="eastAsia" w:cs="Arial"/>
                <w:color w:val="000000"/>
              </w:rPr>
              <w:t>，接地接零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Arial"/>
                <w:color w:val="000000"/>
              </w:rPr>
            </w:pPr>
            <w:r>
              <w:rPr>
                <w:rFonts w:hint="eastAsia" w:cs="Arial"/>
                <w:color w:val="000000"/>
              </w:rPr>
              <w:t>工艺用气：压缩空气</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cs="Arial"/>
                <w:color w:val="000000"/>
              </w:rPr>
              <w:t>所有线缆均有标号并有连接线路图</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Arial"/>
                <w:color w:val="000000"/>
              </w:rPr>
            </w:pPr>
            <w:r>
              <w:rPr>
                <w:rFonts w:hint="eastAsia" w:cs="Arial"/>
                <w:color w:val="000000"/>
              </w:rPr>
              <w:t>设备具有接地线和中性线</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Arial"/>
                <w:color w:val="000000"/>
              </w:rPr>
            </w:pPr>
            <w:r>
              <w:rPr>
                <w:rFonts w:hint="eastAsia" w:cs="Arial"/>
                <w:color w:val="000000"/>
              </w:rPr>
              <w:t>电气系统</w:t>
            </w:r>
            <w:r>
              <w:rPr>
                <w:rFonts w:hint="eastAsia" w:cs="Arial"/>
                <w:color w:val="000000"/>
                <w:lang w:val="en-US" w:eastAsia="zh-CN"/>
              </w:rPr>
              <w:t>采用防爆设计</w:t>
            </w:r>
            <w:r>
              <w:rPr>
                <w:rFonts w:cs="Arial"/>
                <w:color w:val="000000"/>
              </w:rPr>
              <w:t>:</w:t>
            </w:r>
            <w:r>
              <w:rPr>
                <w:rFonts w:hint="eastAsia" w:cs="Arial"/>
                <w:color w:val="000000"/>
              </w:rPr>
              <w:t>电气元件应选用名牌厂商的产品如欧姆龙、西门子等</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default" w:eastAsia="宋体" w:cs="Arial"/>
                <w:color w:val="000000"/>
                <w:lang w:val="en-US" w:eastAsia="zh-CN"/>
              </w:rPr>
            </w:pPr>
            <w:r>
              <w:rPr>
                <w:rFonts w:hint="eastAsia"/>
                <w:color w:val="000000"/>
                <w:lang w:val="zh-CN"/>
              </w:rPr>
              <w:t>所有的线路应尽量走接线槽，</w:t>
            </w:r>
            <w:r>
              <w:rPr>
                <w:rFonts w:hint="eastAsia"/>
                <w:color w:val="000000"/>
                <w:lang w:val="en-US" w:eastAsia="zh-CN"/>
              </w:rPr>
              <w:t>防爆线路接口</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lang w:val="zh-CN"/>
              </w:rPr>
            </w:pPr>
            <w:r>
              <w:rPr>
                <w:rFonts w:hint="eastAsia"/>
                <w:color w:val="000000"/>
              </w:rPr>
              <w:t>所有电缆终端应卷曲包好线头做好相应标记</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color w:val="000000"/>
              </w:rPr>
              <w:t>所有控制配线必须采用低电压控制系统，电压≤</w:t>
            </w:r>
            <w:r>
              <w:rPr>
                <w:color w:val="000000"/>
              </w:rPr>
              <w:t>36</w:t>
            </w:r>
            <w:r>
              <w:rPr>
                <w:rFonts w:hint="eastAsia"/>
                <w:color w:val="000000"/>
              </w:rPr>
              <w:t>伏特</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color w:val="000000"/>
                <w:lang w:val="zh-CN"/>
              </w:rPr>
              <w:t>低压接线（</w:t>
            </w:r>
            <w:r>
              <w:rPr>
                <w:color w:val="000000"/>
                <w:lang w:val="zh-CN"/>
              </w:rPr>
              <w:t>24VDC</w:t>
            </w:r>
            <w:r>
              <w:rPr>
                <w:rFonts w:hint="eastAsia"/>
                <w:color w:val="000000"/>
                <w:lang w:val="zh-CN"/>
              </w:rPr>
              <w:t>和通讯</w:t>
            </w:r>
            <w:r>
              <w:rPr>
                <w:color w:val="000000"/>
                <w:lang w:val="zh-CN"/>
              </w:rPr>
              <w:t>/</w:t>
            </w:r>
            <w:r>
              <w:rPr>
                <w:rFonts w:hint="eastAsia"/>
                <w:color w:val="000000"/>
                <w:lang w:val="zh-CN"/>
              </w:rPr>
              <w:t>信号线路）应与控制盒中的控制电压和较高的电压隔离开</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5A5A5" w:themeFill="background1" w:themeFillShade="A6"/>
            <w:vAlign w:val="center"/>
          </w:tcPr>
          <w:p>
            <w:pPr>
              <w:spacing w:line="360" w:lineRule="auto"/>
              <w:jc w:val="center"/>
              <w:rPr>
                <w:rFonts w:ascii="宋体" w:hAnsi="宋体"/>
                <w:color w:val="000000"/>
                <w:sz w:val="24"/>
                <w:szCs w:val="24"/>
              </w:rPr>
            </w:pPr>
            <w:r>
              <w:rPr>
                <w:rFonts w:ascii="宋体" w:hAnsi="宋体"/>
                <w:color w:val="000000"/>
                <w:sz w:val="24"/>
                <w:szCs w:val="24"/>
              </w:rPr>
              <w:t>设施</w:t>
            </w:r>
            <w:r>
              <w:rPr>
                <w:rFonts w:hint="eastAsia" w:ascii="宋体" w:hAnsi="宋体"/>
                <w:color w:val="000000"/>
                <w:sz w:val="24"/>
                <w:szCs w:val="24"/>
              </w:rPr>
              <w:t>/公用系统要求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lang w:val="zh-CN"/>
              </w:rPr>
            </w:pPr>
            <w:r>
              <w:rPr>
                <w:rFonts w:hint="eastAsia"/>
              </w:rPr>
              <w:t>详细提供设备所需动力系统和厂房设施配套要求，并协助用户完成安装施工图设计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color w:val="000000"/>
                <w:sz w:val="24"/>
                <w:szCs w:val="24"/>
              </w:rPr>
              <w:t>外观及材质要求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textAlignment w:val="baseline"/>
            </w:pPr>
            <w:r>
              <w:rPr>
                <w:rFonts w:hint="eastAsia" w:ascii="宋体" w:hAnsi="宋体" w:cs="Arial"/>
                <w:sz w:val="24"/>
              </w:rPr>
              <w:t>所有的部位应用304不锈钢材料制造，并提供第三方材质证明，镜面抛光，电焊部位焊缝完整，并经表面处理与外周外观颜色相近，不得有明显焊点，表面粗糙度≤Ra0.4μ</w:t>
            </w:r>
            <w:r>
              <w:rPr>
                <w:rFonts w:ascii="宋体" w:hAnsi="宋体" w:cs="Arial"/>
                <w:sz w:val="24"/>
              </w:rPr>
              <w:t>m</w:t>
            </w:r>
            <w:r>
              <w:rPr>
                <w:rFonts w:hint="eastAsia" w:ascii="宋体" w:hAnsi="宋体" w:cs="Arial"/>
                <w:sz w:val="24"/>
              </w:rPr>
              <w:t>，</w:t>
            </w:r>
            <w:r>
              <w:rPr>
                <w:rFonts w:ascii="宋体" w:hAnsi="宋体" w:cs="Arial"/>
                <w:sz w:val="24"/>
              </w:rPr>
              <w:t>内外面色泽一致</w:t>
            </w:r>
            <w:r>
              <w:rPr>
                <w:rFonts w:hint="eastAsia" w:ascii="宋体" w:hAnsi="宋体" w:cs="Arial"/>
                <w:sz w:val="24"/>
              </w:rPr>
              <w:t>；</w:t>
            </w:r>
            <w:r>
              <w:rPr>
                <w:rFonts w:hint="eastAsia" w:ascii="宋体" w:hAnsi="宋体" w:cs="Arial"/>
                <w:sz w:val="24"/>
                <w:lang w:val="en-US" w:eastAsia="zh-CN"/>
              </w:rPr>
              <w:t>有夹伤风险的地方有局部防护罩；</w:t>
            </w:r>
            <w:r>
              <w:rPr>
                <w:rFonts w:ascii="宋体" w:hAnsi="宋体" w:cs="Arial"/>
                <w:sz w:val="24"/>
              </w:rPr>
              <w:t>安全</w:t>
            </w:r>
            <w:r>
              <w:rPr>
                <w:rFonts w:hint="eastAsia" w:ascii="宋体" w:hAnsi="宋体" w:cs="Arial"/>
                <w:sz w:val="24"/>
                <w:lang w:val="en-US" w:eastAsia="zh-CN"/>
              </w:rPr>
              <w:t>防护</w:t>
            </w:r>
            <w:r>
              <w:rPr>
                <w:rFonts w:ascii="宋体" w:hAnsi="宋体" w:cs="Arial"/>
                <w:sz w:val="24"/>
              </w:rPr>
              <w:t>罩应符合安全生产</w:t>
            </w:r>
            <w:r>
              <w:rPr>
                <w:rFonts w:hint="eastAsia" w:ascii="宋体" w:hAnsi="宋体" w:cs="Arial"/>
                <w:sz w:val="24"/>
              </w:rPr>
              <w:t>、</w:t>
            </w:r>
            <w:r>
              <w:rPr>
                <w:rFonts w:ascii="宋体" w:hAnsi="宋体" w:cs="Arial"/>
                <w:sz w:val="24"/>
              </w:rPr>
              <w:t>工艺和</w:t>
            </w:r>
            <w:r>
              <w:rPr>
                <w:rFonts w:hint="eastAsia" w:ascii="宋体" w:hAnsi="宋体" w:cs="Arial"/>
                <w:sz w:val="24"/>
              </w:rPr>
              <w:t>GMP要求；特殊零部件的材料应符合生产和工艺要求</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textAlignment w:val="baseline"/>
              <w:rPr>
                <w:rFonts w:ascii="宋体" w:hAnsi="宋体"/>
                <w:color w:val="000000"/>
                <w:sz w:val="24"/>
                <w:szCs w:val="24"/>
                <w:shd w:val="solid" w:color="FFFFFF" w:fill="auto"/>
              </w:rPr>
            </w:pPr>
            <w:r>
              <w:rPr>
                <w:rFonts w:ascii="宋体" w:hAnsi="宋体"/>
                <w:color w:val="000000"/>
                <w:sz w:val="24"/>
                <w:szCs w:val="24"/>
                <w:shd w:val="solid" w:color="FFFFFF" w:fill="auto"/>
              </w:rPr>
              <w:t>设备外部不可以有电线或管</w:t>
            </w:r>
            <w:r>
              <w:rPr>
                <w:rFonts w:hint="eastAsia" w:ascii="宋体" w:hAnsi="宋体"/>
                <w:color w:val="000000"/>
                <w:sz w:val="24"/>
                <w:szCs w:val="24"/>
                <w:shd w:val="solid" w:color="FFFFFF" w:fill="auto"/>
              </w:rPr>
              <w:t>路外悬，设备外表面及机组任何部件不得有毛边致使人员刮伤的可能性；设备表面不得有明显刮痕、污损</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textAlignment w:val="baseline"/>
              <w:rPr>
                <w:rFonts w:ascii="宋体" w:hAnsi="宋体"/>
                <w:color w:val="000000"/>
                <w:sz w:val="24"/>
                <w:szCs w:val="24"/>
                <w:lang w:val="da-DK"/>
              </w:rPr>
            </w:pPr>
            <w:r>
              <w:rPr>
                <w:rFonts w:ascii="宋体" w:hAnsi="宋体"/>
                <w:color w:val="000000"/>
                <w:sz w:val="24"/>
                <w:szCs w:val="24"/>
                <w:lang w:val="da-DK"/>
              </w:rPr>
              <w:t>机械零件润滑点在机器上</w:t>
            </w:r>
            <w:r>
              <w:rPr>
                <w:rFonts w:hint="eastAsia" w:ascii="宋体" w:hAnsi="宋体"/>
                <w:color w:val="000000"/>
                <w:sz w:val="24"/>
                <w:szCs w:val="24"/>
                <w:lang w:val="da-DK"/>
              </w:rPr>
              <w:t>、</w:t>
            </w:r>
            <w:r>
              <w:rPr>
                <w:rFonts w:ascii="宋体" w:hAnsi="宋体"/>
                <w:color w:val="000000"/>
                <w:sz w:val="24"/>
                <w:szCs w:val="24"/>
                <w:lang w:val="da-DK"/>
              </w:rPr>
              <w:t>图纸上标出</w:t>
            </w:r>
            <w:r>
              <w:rPr>
                <w:rFonts w:hint="eastAsia" w:ascii="宋体" w:hAnsi="宋体"/>
                <w:color w:val="000000"/>
                <w:sz w:val="24"/>
                <w:szCs w:val="24"/>
                <w:lang w:val="da-DK"/>
              </w:rPr>
              <w:t>，</w:t>
            </w:r>
            <w:r>
              <w:rPr>
                <w:rFonts w:ascii="宋体" w:hAnsi="宋体"/>
                <w:color w:val="000000"/>
                <w:sz w:val="24"/>
                <w:szCs w:val="24"/>
                <w:lang w:val="da-DK"/>
              </w:rPr>
              <w:t>手册上说明润滑周期</w:t>
            </w:r>
            <w:r>
              <w:rPr>
                <w:rFonts w:hint="eastAsia" w:ascii="宋体" w:hAnsi="宋体"/>
                <w:color w:val="000000"/>
                <w:sz w:val="24"/>
                <w:szCs w:val="24"/>
                <w:lang w:val="da-DK"/>
              </w:rPr>
              <w:t>，</w:t>
            </w:r>
            <w:r>
              <w:rPr>
                <w:rFonts w:ascii="宋体" w:hAnsi="宋体"/>
                <w:color w:val="000000"/>
                <w:sz w:val="24"/>
                <w:szCs w:val="24"/>
                <w:lang w:val="da-DK"/>
              </w:rPr>
              <w:t>润滑剂采用食品级</w:t>
            </w:r>
            <w:r>
              <w:rPr>
                <w:rFonts w:hint="eastAsia" w:ascii="宋体" w:hAnsi="宋体"/>
                <w:color w:val="000000"/>
                <w:sz w:val="24"/>
                <w:szCs w:val="24"/>
                <w:lang w:val="da-DK"/>
              </w:rPr>
              <w:t>，</w:t>
            </w:r>
            <w:r>
              <w:rPr>
                <w:rFonts w:ascii="宋体" w:hAnsi="宋体"/>
                <w:color w:val="000000"/>
                <w:sz w:val="24"/>
                <w:szCs w:val="24"/>
                <w:lang w:val="da-DK"/>
              </w:rPr>
              <w:t>提供厂家信息</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textAlignment w:val="baseline"/>
              <w:rPr>
                <w:rFonts w:ascii="宋体" w:hAnsi="宋体"/>
                <w:color w:val="000000"/>
                <w:sz w:val="24"/>
                <w:szCs w:val="24"/>
                <w:lang w:val="da-DK"/>
              </w:rPr>
            </w:pPr>
            <w:r>
              <w:rPr>
                <w:rFonts w:hint="eastAsia" w:ascii="宋体" w:hAnsi="宋体" w:cs="Arial"/>
                <w:sz w:val="24"/>
              </w:rPr>
              <w:t>设备</w:t>
            </w:r>
            <w:r>
              <w:rPr>
                <w:rFonts w:ascii="宋体" w:hAnsi="宋体" w:cs="Arial"/>
                <w:sz w:val="24"/>
              </w:rPr>
              <w:t>设计应避免产生</w:t>
            </w:r>
            <w:r>
              <w:rPr>
                <w:rFonts w:hint="eastAsia" w:ascii="宋体" w:hAnsi="宋体" w:cs="Arial"/>
                <w:sz w:val="24"/>
              </w:rPr>
              <w:t>卫生</w:t>
            </w:r>
            <w:r>
              <w:rPr>
                <w:rFonts w:ascii="宋体" w:hAnsi="宋体" w:cs="Arial"/>
                <w:sz w:val="24"/>
              </w:rPr>
              <w:t>死角</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textAlignment w:val="baseline"/>
              <w:rPr>
                <w:rFonts w:ascii="宋体" w:hAnsi="宋体"/>
                <w:color w:val="000000"/>
                <w:sz w:val="24"/>
                <w:szCs w:val="24"/>
                <w:lang w:val="da-DK"/>
              </w:rPr>
            </w:pPr>
            <w:r>
              <w:rPr>
                <w:rFonts w:ascii="宋体" w:hAnsi="宋体"/>
                <w:color w:val="000000"/>
                <w:sz w:val="24"/>
                <w:szCs w:val="24"/>
                <w:lang w:val="da-DK"/>
              </w:rPr>
              <w:t>传感器采用进口或国内一线品牌</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color w:val="000000"/>
                <w:sz w:val="24"/>
                <w:szCs w:val="24"/>
              </w:rPr>
              <w:t>产品</w:t>
            </w:r>
            <w:r>
              <w:rPr>
                <w:rFonts w:ascii="宋体" w:hAnsi="宋体"/>
                <w:color w:val="00000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olor w:val="000000"/>
                <w:sz w:val="24"/>
                <w:szCs w:val="24"/>
              </w:rPr>
            </w:pPr>
            <w:r>
              <w:rPr>
                <w:rFonts w:hint="eastAsia" w:ascii="宋体" w:hAnsi="宋体"/>
                <w:b/>
                <w:spacing w:val="12"/>
                <w:sz w:val="24"/>
              </w:rPr>
              <w:t>一、分托机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default" w:eastAsia="宋体"/>
                <w:color w:val="000000"/>
                <w:lang w:val="en-US" w:eastAsia="zh-CN"/>
              </w:rPr>
            </w:pPr>
            <w:r>
              <w:rPr>
                <w:rFonts w:hint="eastAsia"/>
                <w:color w:val="000000"/>
                <w:spacing w:val="4"/>
                <w:position w:val="6"/>
              </w:rPr>
              <w:t>能完成</w:t>
            </w:r>
            <w:r>
              <w:rPr>
                <w:rFonts w:hint="eastAsia"/>
                <w:color w:val="000000"/>
                <w:spacing w:val="4"/>
                <w:position w:val="6"/>
                <w:lang w:val="en-US" w:eastAsia="zh-CN"/>
              </w:rPr>
              <w:t>1ml、2ml和5ml</w:t>
            </w:r>
            <w:r>
              <w:rPr>
                <w:rFonts w:hint="eastAsia"/>
                <w:color w:val="000000"/>
                <w:spacing w:val="4"/>
                <w:position w:val="6"/>
              </w:rPr>
              <w:t>安瓿瓶瓶托自动分托</w:t>
            </w:r>
            <w:r>
              <w:rPr>
                <w:rFonts w:hint="eastAsia"/>
                <w:color w:val="000000"/>
                <w:spacing w:val="4"/>
                <w:position w:val="6"/>
                <w:lang w:eastAsia="zh-CN"/>
              </w:rPr>
              <w:t>，</w:t>
            </w:r>
            <w:r>
              <w:rPr>
                <w:rFonts w:hint="eastAsia"/>
                <w:color w:val="000000"/>
                <w:spacing w:val="4"/>
                <w:position w:val="6"/>
                <w:lang w:val="en-US" w:eastAsia="zh-CN"/>
              </w:rPr>
              <w:t>配备1ml托盘模具</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eastAsia"/>
                <w:bCs/>
                <w:lang w:val="en-US" w:eastAsia="zh-CN"/>
              </w:rPr>
            </w:pPr>
            <w:r>
              <w:rPr>
                <w:rFonts w:hint="eastAsia"/>
                <w:bCs/>
              </w:rPr>
              <w:t>分托稳定运行产量</w:t>
            </w:r>
            <w:r>
              <w:rPr>
                <w:rFonts w:hint="eastAsia"/>
                <w:bCs/>
                <w:lang w:val="en-US" w:eastAsia="zh-CN"/>
              </w:rPr>
              <w:t>≥50</w:t>
            </w:r>
            <w:r>
              <w:rPr>
                <w:rFonts w:hint="eastAsia"/>
                <w:bCs/>
              </w:rPr>
              <w:t>托/</w:t>
            </w:r>
            <w:r>
              <w:rPr>
                <w:rFonts w:hint="eastAsia"/>
                <w:bCs/>
                <w:lang w:val="en-US" w:eastAsia="zh-CN"/>
              </w:rPr>
              <w:t>分钟（10支/托）</w:t>
            </w:r>
          </w:p>
          <w:p>
            <w:pPr>
              <w:pStyle w:val="7"/>
              <w:spacing w:line="360" w:lineRule="auto"/>
              <w:rPr>
                <w:rFonts w:hint="eastAsia"/>
                <w:bCs/>
                <w:lang w:val="en-US" w:eastAsia="zh-CN"/>
              </w:rPr>
            </w:pPr>
            <w:r>
              <w:rPr>
                <w:rFonts w:hint="eastAsia"/>
                <w:bCs/>
              </w:rPr>
              <w:t>分托稳定运行产量</w:t>
            </w:r>
            <w:r>
              <w:rPr>
                <w:rFonts w:hint="eastAsia"/>
                <w:bCs/>
                <w:lang w:val="en-US" w:eastAsia="zh-CN"/>
              </w:rPr>
              <w:t>≥100</w:t>
            </w:r>
            <w:r>
              <w:rPr>
                <w:rFonts w:hint="eastAsia"/>
                <w:bCs/>
              </w:rPr>
              <w:t>托/</w:t>
            </w:r>
            <w:r>
              <w:rPr>
                <w:rFonts w:hint="eastAsia"/>
                <w:bCs/>
                <w:lang w:val="en-US" w:eastAsia="zh-CN"/>
              </w:rPr>
              <w:t>分钟（5支/托）</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bCs/>
              </w:rPr>
              <w:t>分托准确性需要满足99.9%。</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bCs/>
              </w:rPr>
              <w:t>入托方式为吸盘分托</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bCs/>
              </w:rPr>
              <w:t>分托机以生产规格为</w:t>
            </w:r>
            <w:r>
              <w:rPr>
                <w:rFonts w:hint="eastAsia"/>
                <w:bCs/>
                <w:lang w:val="en-US" w:eastAsia="zh-CN"/>
              </w:rPr>
              <w:t>10</w:t>
            </w:r>
            <w:r>
              <w:rPr>
                <w:rFonts w:hint="eastAsia"/>
                <w:bCs/>
              </w:rPr>
              <w:t>支/托</w:t>
            </w:r>
            <w:r>
              <w:rPr>
                <w:rFonts w:hint="eastAsia"/>
                <w:bCs/>
                <w:lang w:val="en-US" w:eastAsia="zh-CN"/>
              </w:rPr>
              <w:t>或5支/托</w:t>
            </w:r>
            <w:r>
              <w:rPr>
                <w:rFonts w:hint="eastAsia"/>
                <w:bCs/>
              </w:rPr>
              <w:t>，具备更换模具快捷，调整应便捷，以便产品规格变化能够快速切换</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bCs/>
                <w:lang w:val="zh-CN"/>
              </w:rPr>
            </w:pPr>
            <w:r>
              <w:rPr>
                <w:rFonts w:hint="eastAsia"/>
                <w:bCs/>
                <w:lang w:val="zh-CN"/>
              </w:rPr>
              <w:t>分托料仓可储存托数量≥1000个</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bCs/>
                <w:lang w:val="zh-CN"/>
              </w:rPr>
              <w:t>设备运转时</w:t>
            </w:r>
            <w:r>
              <w:rPr>
                <w:rFonts w:hint="eastAsia"/>
                <w:bCs/>
              </w:rPr>
              <w:t>1m距离</w:t>
            </w:r>
            <w:r>
              <w:rPr>
                <w:rFonts w:hint="eastAsia"/>
                <w:bCs/>
                <w:lang w:val="zh-CN"/>
              </w:rPr>
              <w:t>噪音不得超过</w:t>
            </w:r>
            <w:r>
              <w:rPr>
                <w:rFonts w:hint="eastAsia"/>
                <w:bCs/>
              </w:rPr>
              <w:t>80</w:t>
            </w:r>
            <w:r>
              <w:rPr>
                <w:rFonts w:hint="eastAsia"/>
                <w:bCs/>
                <w:lang w:val="zh-CN"/>
              </w:rPr>
              <w:t>dB</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bCs/>
              </w:rPr>
              <w:t>压缩空气系统能够和工厂现有系统连接，正常运行时要求的压缩空气压力为0.4～0.6MPa</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bCs/>
              </w:rPr>
            </w:pPr>
            <w:r>
              <w:rPr>
                <w:rFonts w:hint="eastAsia"/>
                <w:bCs/>
              </w:rPr>
              <w:t>可编程控制器、变频器等采用Siemens品牌，电机、急停开关等电器元件采用Schneider等国际一线品牌产品，机器主要表面为304不锈钢</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bCs/>
              </w:rPr>
            </w:pPr>
            <w:r>
              <w:rPr>
                <w:rFonts w:hint="eastAsia"/>
                <w:bCs/>
              </w:rPr>
              <w:t>PLC全自动控制，中文显示，报警功能，各操作步骤均具有点动功能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bCs/>
              </w:rPr>
            </w:pPr>
            <w:r>
              <w:rPr>
                <w:rFonts w:hint="eastAsia"/>
                <w:bCs/>
              </w:rPr>
              <w:t>控制柜、操控箱、操控按钮密封良好，可完全阻止灰尘、水和湿气进入其中，电气接线符合安全规范</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bCs/>
              </w:rPr>
            </w:pPr>
            <w:r>
              <w:rPr>
                <w:rFonts w:hint="eastAsia"/>
                <w:bCs/>
              </w:rPr>
              <w:t>设备部位任何不能有锋利的边缘和尖角，危险部位有明显的安全警示标识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bCs/>
              </w:rPr>
            </w:pPr>
            <w:r>
              <w:rPr>
                <w:rFonts w:hint="eastAsia"/>
                <w:bCs/>
              </w:rPr>
              <w:t>设备处于运行状态时，按下急停开关，设备立即停止运转；急停开关复位后，仅在进行复位和启动操作后，设备方可进入运行状态</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olor w:val="000000"/>
                <w:sz w:val="24"/>
                <w:szCs w:val="24"/>
              </w:rPr>
            </w:pPr>
            <w:r>
              <w:rPr>
                <w:rFonts w:hint="eastAsia" w:ascii="宋体" w:hAnsi="宋体"/>
                <w:b/>
                <w:color w:val="000000"/>
                <w:sz w:val="24"/>
                <w:szCs w:val="24"/>
              </w:rPr>
              <w:t>二、贴标机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default" w:eastAsia="宋体"/>
                <w:lang w:val="en-US" w:eastAsia="zh-CN"/>
              </w:rPr>
            </w:pPr>
            <w:r>
              <w:rPr>
                <w:rFonts w:hint="eastAsia"/>
                <w:lang w:val="en-US" w:eastAsia="zh-CN"/>
              </w:rPr>
              <w:t>稳定运行速度≥500支/分钟</w:t>
            </w:r>
          </w:p>
        </w:tc>
        <w:tc>
          <w:tcPr>
            <w:tcW w:w="1328" w:type="dxa"/>
            <w:vAlign w:val="center"/>
          </w:tcPr>
          <w:p>
            <w:pPr>
              <w:spacing w:line="360" w:lineRule="auto"/>
              <w:jc w:val="center"/>
              <w:rPr>
                <w:rFonts w:hint="eastAsia" w:ascii="宋体" w:hAnsi="宋体"/>
                <w:color w:val="000000"/>
                <w:sz w:val="24"/>
                <w:szCs w:val="24"/>
              </w:rPr>
            </w:pP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default" w:eastAsia="宋体"/>
                <w:lang w:val="en-US" w:eastAsia="zh-CN"/>
              </w:rPr>
            </w:pPr>
            <w:r>
              <w:rPr>
                <w:rFonts w:hint="eastAsia"/>
              </w:rPr>
              <w:t>上料带需按周转盘定制尺寸，能容纳≥</w:t>
            </w:r>
            <w:r>
              <w:rPr>
                <w:rFonts w:hint="eastAsia"/>
                <w:lang w:val="en-US" w:eastAsia="zh-CN"/>
              </w:rPr>
              <w:t>3750</w:t>
            </w:r>
            <w:r>
              <w:rPr>
                <w:rFonts w:hint="eastAsia"/>
              </w:rPr>
              <w:t>支安瓿瓶（以</w:t>
            </w:r>
            <w:r>
              <w:rPr>
                <w:rFonts w:hint="eastAsia"/>
                <w:lang w:val="en-US" w:eastAsia="zh-CN"/>
              </w:rPr>
              <w:t>1</w:t>
            </w:r>
            <w:r>
              <w:rPr>
                <w:rFonts w:hint="eastAsia"/>
              </w:rPr>
              <w:t>ml安瓿瓶计算）</w:t>
            </w:r>
            <w:r>
              <w:rPr>
                <w:rFonts w:hint="eastAsia"/>
                <w:lang w:eastAsia="zh-CN"/>
              </w:rPr>
              <w:t>（</w:t>
            </w:r>
            <w:r>
              <w:rPr>
                <w:rFonts w:hint="eastAsia"/>
                <w:lang w:val="en-US" w:eastAsia="zh-CN"/>
              </w:rPr>
              <w:t>长度约1500mm ，高度930±30mm</w:t>
            </w:r>
            <w:r>
              <w:rPr>
                <w:rFonts w:hint="eastAsia"/>
                <w:lang w:eastAsia="zh-CN"/>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贴标机采用螺杆无过渡转姿供料，立转卧无需过渡，不会产生瓶子挤瓶子及瓶子自由掉落到棍子输送链防止相互挤压挤掉落产生的破瓶现象</w:t>
            </w:r>
          </w:p>
        </w:tc>
        <w:tc>
          <w:tcPr>
            <w:tcW w:w="1328" w:type="dxa"/>
            <w:vAlign w:val="center"/>
          </w:tcPr>
          <w:p>
            <w:pPr>
              <w:spacing w:line="360" w:lineRule="auto"/>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采用螺杆分瓶装置,螺杆能整体手轮调节装置，配有快换结构,更换螺杆不超过5分钟</w:t>
            </w:r>
          </w:p>
        </w:tc>
        <w:tc>
          <w:tcPr>
            <w:tcW w:w="1328" w:type="dxa"/>
            <w:vAlign w:val="center"/>
          </w:tcPr>
          <w:p>
            <w:pPr>
              <w:spacing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进料螺杆处需有接渣装置，防止碎瓶时，玻渣及药液进入盒托，输送轨道内均配有残液及碎渣收集装置，便于清洗和收集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cs="Courier New"/>
              </w:rPr>
              <w:t>破瓶率：应小于十万分之一</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安瓿瓶立式水平自动传送进料，卧式贴标，贴标机上完成贴标及在标签上打印生产批号和生产日期</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color w:val="000000"/>
              </w:rPr>
            </w:pPr>
            <w:r>
              <w:rPr>
                <w:rFonts w:hint="eastAsia"/>
              </w:rPr>
              <w:t>送标器应采用高速大功率伺服送标器，拉标辊建议采用耐磨的金钢砂辊，压标辊采用双压辊的方式，送签长度准确，运行过程中不会出现标签跑偏情况。出标速度不低于50m/min，贴标效率：≥500瓶/分钟</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default" w:eastAsia="宋体"/>
                <w:lang w:val="en-US" w:eastAsia="zh-CN"/>
              </w:rPr>
            </w:pPr>
            <w:r>
              <w:rPr>
                <w:rFonts w:hint="eastAsia"/>
                <w:lang w:val="en-US" w:eastAsia="zh-CN"/>
              </w:rPr>
              <w:t>采用</w:t>
            </w:r>
            <w:r>
              <w:rPr>
                <w:rFonts w:hint="eastAsia"/>
              </w:rPr>
              <w:t>高速喷码机，</w:t>
            </w:r>
            <w:r>
              <w:rPr>
                <w:rFonts w:hint="eastAsia"/>
                <w:lang w:val="en-US" w:eastAsia="zh-CN"/>
              </w:rPr>
              <w:t>可调整</w:t>
            </w:r>
            <w:r>
              <w:rPr>
                <w:rFonts w:hint="eastAsia"/>
              </w:rPr>
              <w:t>三期间距</w:t>
            </w:r>
            <w:r>
              <w:rPr>
                <w:rFonts w:hint="eastAsia"/>
                <w:lang w:eastAsia="zh-CN"/>
              </w:rPr>
              <w:t>，</w:t>
            </w:r>
            <w:r>
              <w:rPr>
                <w:rFonts w:hint="eastAsia"/>
                <w:lang w:val="en-US" w:eastAsia="zh-CN"/>
              </w:rPr>
              <w:t>字体大小</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可选择横或竖的打印方向</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default" w:eastAsia="宋体"/>
                <w:lang w:val="en-US" w:eastAsia="zh-CN"/>
              </w:rPr>
            </w:pPr>
            <w:r>
              <w:rPr>
                <w:rFonts w:hint="eastAsia"/>
              </w:rPr>
              <w:t>针对不同类型标签推荐使用对应的墨盒，使用的墨盒不是唯一供应</w:t>
            </w:r>
            <w:r>
              <w:rPr>
                <w:rFonts w:hint="eastAsia"/>
                <w:lang w:eastAsia="zh-CN"/>
              </w:rPr>
              <w:t>，</w:t>
            </w:r>
            <w:r>
              <w:rPr>
                <w:rFonts w:hint="eastAsia"/>
                <w:lang w:val="en-US" w:eastAsia="zh-CN"/>
              </w:rPr>
              <w:t>提供墨盒供应商，商品规格型号不少于2家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配备红外烘干装置</w:t>
            </w:r>
          </w:p>
        </w:tc>
        <w:tc>
          <w:tcPr>
            <w:tcW w:w="1328" w:type="dxa"/>
            <w:vAlign w:val="center"/>
          </w:tcPr>
          <w:p>
            <w:pPr>
              <w:spacing w:line="360" w:lineRule="auto"/>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期望</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适用标签：不干胶单排卷装不透明铜板纸标签，拉</w:t>
            </w:r>
            <w:r>
              <w:rPr>
                <w:rFonts w:hint="eastAsia"/>
                <w:lang w:val="en-US" w:eastAsia="zh-CN"/>
              </w:rPr>
              <w:t>伸</w:t>
            </w:r>
            <w:r>
              <w:rPr>
                <w:rFonts w:hint="eastAsia"/>
              </w:rPr>
              <w:t>底纸，标签卷内径Φ76.2mm、最大标签卷外径400mm。</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具备贴标计数功能和贴标速率显示功能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具备打印质量检测功能，</w:t>
            </w:r>
            <w:r>
              <w:t>可对漏打印、打印不正确、打印位置重大偏移、字符整体或部分缺失进行精确 识别，同时对打印不清晰现象进行监控并对打印不良品自动剔除</w:t>
            </w:r>
            <w:r>
              <w:rPr>
                <w:rFonts w:hint="eastAsia"/>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t>漏打印、打印不正确、位置重大偏移、字符整体或者部分缺失的漏检率（将错的读 成对的）为 0.01%，误检率（将对的读成错的）为 0.01%</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贴标机所贴标签，应平整光滑，不能有皱褶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贴标精度:±0.5mm</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要求贴标率和正标率均达到99.9%</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贴标机应能具备对生产过程的漏贴标的检测及自动剔除功能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hint="eastAsia"/>
              </w:rPr>
            </w:pPr>
            <w:r>
              <w:rPr>
                <w:rFonts w:hint="eastAsia"/>
              </w:rPr>
              <w:t>漏贴率低于0.1%；光电漏检率低于0.01%</w:t>
            </w:r>
          </w:p>
        </w:tc>
        <w:tc>
          <w:tcPr>
            <w:tcW w:w="1328" w:type="dxa"/>
            <w:vAlign w:val="center"/>
          </w:tcPr>
          <w:p>
            <w:pPr>
              <w:spacing w:line="360" w:lineRule="auto"/>
              <w:jc w:val="center"/>
              <w:rPr>
                <w:rFonts w:hint="eastAsia"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采用卡式托辊输送，固定瓶子输送，所有输瓶机构应运行平稳，无冲击、不产生误动作，不倒瓶、跳瓶，并配有跳瓶检测装置，检测跳瓶立即停机，防止瓶子在输送过程中打横、卡碎瓶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pPr>
            <w:r>
              <w:rPr>
                <w:rFonts w:hint="eastAsia"/>
              </w:rPr>
              <w:t>贴标机的辊子输送链和转姿螺杆需为同一动力系统，同步控制，在停机时，能保证辊子与转姿螺杆对位位置准确</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pPr>
            <w:r>
              <w:rPr>
                <w:rFonts w:hint="eastAsia"/>
              </w:rPr>
              <w:t>视觉系统和贴标机操作界面需统一采用工控</w:t>
            </w:r>
            <w:r>
              <w:rPr>
                <w:rFonts w:hint="eastAsia"/>
                <w:lang w:val="en-US" w:eastAsia="zh-CN"/>
              </w:rPr>
              <w:t>防爆</w:t>
            </w:r>
            <w:r>
              <w:rPr>
                <w:rFonts w:hint="eastAsia"/>
              </w:rPr>
              <w:t>电脑，同一操作屏操作，使操作更加方便</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pPr>
            <w:r>
              <w:rPr>
                <w:rFonts w:hint="eastAsia"/>
              </w:rPr>
              <w:t>下游设备停机后，贴标机需要同步停机。贴标机具有缺瓶等待功能，入托机具有缺托等待功能，无需人工干预，保证整线能够连续平稳生产</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pPr>
            <w:r>
              <w:rPr>
                <w:rFonts w:hint="eastAsia"/>
              </w:rPr>
              <w:t>配有操作日志及审计追踪功能，可生成和导出不可更改的文件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olor w:val="000000"/>
                <w:sz w:val="24"/>
                <w:szCs w:val="24"/>
              </w:rPr>
            </w:pPr>
            <w:r>
              <w:rPr>
                <w:rFonts w:ascii="宋体" w:hAnsi="宋体"/>
                <w:b/>
                <w:color w:val="000000"/>
                <w:sz w:val="24"/>
                <w:szCs w:val="24"/>
              </w:rPr>
              <w:t>三</w:t>
            </w:r>
            <w:r>
              <w:rPr>
                <w:rFonts w:hint="eastAsia" w:ascii="宋体" w:hAnsi="宋体"/>
                <w:b/>
                <w:color w:val="000000"/>
                <w:sz w:val="24"/>
                <w:szCs w:val="24"/>
              </w:rPr>
              <w:t>、</w:t>
            </w:r>
            <w:r>
              <w:rPr>
                <w:rFonts w:ascii="宋体" w:hAnsi="宋体"/>
                <w:b/>
                <w:color w:val="000000"/>
                <w:sz w:val="24"/>
                <w:szCs w:val="24"/>
              </w:rPr>
              <w:t>入托机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eastAsia"/>
              </w:rPr>
            </w:pPr>
            <w:r>
              <w:rPr>
                <w:rFonts w:hint="eastAsia"/>
              </w:rPr>
              <w:t>入托稳定运行产量≥</w:t>
            </w:r>
            <w:r>
              <w:rPr>
                <w:rFonts w:hint="eastAsia"/>
                <w:lang w:val="en-US" w:eastAsia="zh-CN"/>
              </w:rPr>
              <w:t>50</w:t>
            </w:r>
            <w:r>
              <w:rPr>
                <w:rFonts w:hint="eastAsia"/>
              </w:rPr>
              <w:t>托/</w:t>
            </w:r>
            <w:r>
              <w:rPr>
                <w:rFonts w:hint="eastAsia"/>
                <w:lang w:val="en-US" w:eastAsia="zh-CN"/>
              </w:rPr>
              <w:t>分钟</w:t>
            </w:r>
            <w:r>
              <w:rPr>
                <w:rFonts w:hint="eastAsia"/>
              </w:rPr>
              <w:t>（</w:t>
            </w:r>
            <w:r>
              <w:rPr>
                <w:rFonts w:hint="eastAsia"/>
                <w:lang w:val="en-US" w:eastAsia="zh-CN"/>
              </w:rPr>
              <w:t>10支/托</w:t>
            </w:r>
            <w:r>
              <w:rPr>
                <w:rFonts w:hint="eastAsia"/>
              </w:rPr>
              <w:t>）</w:t>
            </w:r>
          </w:p>
          <w:p>
            <w:pPr>
              <w:pStyle w:val="7"/>
              <w:spacing w:line="360" w:lineRule="auto"/>
              <w:rPr>
                <w:rFonts w:hint="eastAsia"/>
              </w:rPr>
            </w:pPr>
            <w:r>
              <w:rPr>
                <w:rFonts w:hint="eastAsia"/>
              </w:rPr>
              <w:t>入托稳定运行产量≥</w:t>
            </w:r>
            <w:r>
              <w:rPr>
                <w:rFonts w:hint="eastAsia"/>
                <w:lang w:val="en-US" w:eastAsia="zh-CN"/>
              </w:rPr>
              <w:t>100</w:t>
            </w:r>
            <w:r>
              <w:rPr>
                <w:rFonts w:hint="eastAsia"/>
              </w:rPr>
              <w:t>托/</w:t>
            </w:r>
            <w:r>
              <w:rPr>
                <w:rFonts w:hint="eastAsia"/>
                <w:lang w:val="en-US" w:eastAsia="zh-CN"/>
              </w:rPr>
              <w:t>分钟</w:t>
            </w:r>
            <w:r>
              <w:rPr>
                <w:rFonts w:hint="eastAsia"/>
              </w:rPr>
              <w:t>（</w:t>
            </w:r>
            <w:r>
              <w:rPr>
                <w:rFonts w:hint="eastAsia"/>
                <w:lang w:val="en-US" w:eastAsia="zh-CN"/>
              </w:rPr>
              <w:t>5支/托</w:t>
            </w:r>
            <w:r>
              <w:rPr>
                <w:rFonts w:hint="eastAsia"/>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pPr>
            <w:r>
              <w:rPr>
                <w:rFonts w:hint="eastAsia"/>
                <w:color w:val="000000"/>
                <w:spacing w:val="4"/>
                <w:position w:val="6"/>
              </w:rPr>
              <w:t>具备无托不下药和无药不进托的功能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spacing w:val="4"/>
                <w:position w:val="6"/>
              </w:rPr>
            </w:pPr>
            <w:r>
              <w:rPr>
                <w:rFonts w:hint="eastAsia"/>
                <w:color w:val="000000"/>
                <w:spacing w:val="4"/>
                <w:position w:val="6"/>
              </w:rPr>
              <w:t>入托方位准确，药支能够完全放入瓶托内，瓶托倒置时药支不脱落，入托合格率99.99%</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spacing w:val="4"/>
                <w:position w:val="6"/>
              </w:rPr>
            </w:pPr>
            <w:r>
              <w:rPr>
                <w:rFonts w:hint="eastAsia"/>
                <w:color w:val="000000"/>
                <w:spacing w:val="4"/>
                <w:position w:val="6"/>
              </w:rPr>
              <w:t>连续式高速自动入托，采用双伺服控制驱动，即伺服进托和伺服进瓶且不停机双缓冲待料</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spacing w:val="4"/>
                <w:position w:val="6"/>
              </w:rPr>
            </w:pPr>
            <w:r>
              <w:rPr>
                <w:rFonts w:hint="eastAsia"/>
                <w:color w:val="000000"/>
                <w:spacing w:val="4"/>
                <w:position w:val="6"/>
              </w:rPr>
              <w:t>该工序完成后可自动传送到下工序。传送带高度、速度和下道工序相匹配</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spacing w:val="4"/>
                <w:position w:val="6"/>
              </w:rPr>
            </w:pPr>
            <w:r>
              <w:rPr>
                <w:rFonts w:hint="eastAsia"/>
                <w:color w:val="000000"/>
                <w:spacing w:val="4"/>
                <w:position w:val="6"/>
              </w:rPr>
              <w:t>有对应的</w:t>
            </w:r>
            <w:r>
              <w:rPr>
                <w:rFonts w:hint="eastAsia"/>
                <w:color w:val="000000"/>
                <w:spacing w:val="4"/>
                <w:position w:val="6"/>
                <w:lang w:val="en-US" w:eastAsia="zh-CN"/>
              </w:rPr>
              <w:t>进针</w:t>
            </w:r>
            <w:r>
              <w:rPr>
                <w:rFonts w:hint="eastAsia"/>
                <w:color w:val="000000"/>
                <w:spacing w:val="4"/>
                <w:position w:val="6"/>
              </w:rPr>
              <w:t>缓冲装置</w:t>
            </w:r>
            <w:r>
              <w:rPr>
                <w:rFonts w:hint="eastAsia"/>
                <w:color w:val="000000"/>
                <w:spacing w:val="4"/>
                <w:position w:val="6"/>
                <w:lang w:val="en-US" w:eastAsia="zh-CN"/>
              </w:rPr>
              <w:t>防止下落过程中产品破碎</w:t>
            </w:r>
            <w:r>
              <w:rPr>
                <w:rFonts w:hint="eastAsia"/>
                <w:color w:val="000000"/>
                <w:spacing w:val="4"/>
                <w:position w:val="6"/>
              </w:rPr>
              <w:t>，当无托或入托机故障时，物料能缓存于缓冲转盘，避免造成堵料而影响贴标机停机</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eastAsia="宋体"/>
                <w:color w:val="000000"/>
                <w:spacing w:val="4"/>
                <w:position w:val="6"/>
                <w:lang w:val="en-US" w:eastAsia="zh-CN"/>
              </w:rPr>
            </w:pPr>
            <w:r>
              <w:rPr>
                <w:rFonts w:hint="eastAsia"/>
                <w:color w:val="000000"/>
                <w:spacing w:val="4"/>
                <w:position w:val="6"/>
              </w:rPr>
              <w:t>入托</w:t>
            </w:r>
            <w:r>
              <w:rPr>
                <w:rFonts w:hint="eastAsia"/>
                <w:color w:val="000000"/>
                <w:spacing w:val="4"/>
                <w:position w:val="6"/>
                <w:lang w:val="en-US" w:eastAsia="zh-CN"/>
              </w:rPr>
              <w:t>后具备</w:t>
            </w:r>
            <w:r>
              <w:rPr>
                <w:rFonts w:hint="eastAsia"/>
                <w:color w:val="000000"/>
                <w:spacing w:val="4"/>
                <w:position w:val="6"/>
              </w:rPr>
              <w:t>压瓶</w:t>
            </w:r>
            <w:r>
              <w:rPr>
                <w:rFonts w:hint="eastAsia"/>
                <w:color w:val="000000"/>
                <w:spacing w:val="4"/>
                <w:position w:val="6"/>
                <w:lang w:val="en-US" w:eastAsia="zh-CN"/>
              </w:rPr>
              <w:t>机构，压瓶后</w:t>
            </w:r>
            <w:r>
              <w:rPr>
                <w:rFonts w:hint="eastAsia"/>
                <w:color w:val="000000"/>
                <w:spacing w:val="4"/>
                <w:position w:val="6"/>
              </w:rPr>
              <w:t>托盘不变形</w:t>
            </w:r>
            <w:r>
              <w:rPr>
                <w:rFonts w:hint="eastAsia"/>
                <w:color w:val="000000"/>
                <w:spacing w:val="4"/>
                <w:position w:val="6"/>
                <w:lang w:eastAsia="zh-CN"/>
              </w:rPr>
              <w:t>，</w:t>
            </w:r>
            <w:r>
              <w:rPr>
                <w:rFonts w:hint="eastAsia"/>
                <w:color w:val="000000"/>
                <w:spacing w:val="4"/>
                <w:position w:val="6"/>
                <w:lang w:val="en-US" w:eastAsia="zh-CN"/>
              </w:rPr>
              <w:t>瓶不破碎</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spacing w:val="4"/>
                <w:position w:val="6"/>
              </w:rPr>
            </w:pPr>
            <w:r>
              <w:rPr>
                <w:rFonts w:hint="eastAsia"/>
                <w:color w:val="000000"/>
                <w:spacing w:val="4"/>
                <w:position w:val="6"/>
              </w:rPr>
              <w:t>设备运行平稳，运转速度可无级调节</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jc w:val="left"/>
              <w:rPr>
                <w:rFonts w:hint="default" w:ascii="宋体" w:hAnsi="宋体" w:eastAsia="宋体"/>
                <w:color w:val="000000"/>
                <w:sz w:val="24"/>
                <w:szCs w:val="24"/>
                <w:lang w:val="en-US" w:eastAsia="zh-CN"/>
              </w:rPr>
            </w:pPr>
            <w:r>
              <w:rPr>
                <w:rFonts w:hint="eastAsia" w:ascii="宋体" w:hAnsi="宋体"/>
                <w:b/>
                <w:color w:val="000000"/>
                <w:sz w:val="24"/>
                <w:szCs w:val="24"/>
                <w:lang w:val="en-US" w:eastAsia="zh-CN"/>
              </w:rPr>
              <w:t>四、爬坡输送带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eastAsia="宋体"/>
                <w:color w:val="000000"/>
                <w:spacing w:val="4"/>
                <w:position w:val="6"/>
                <w:lang w:val="en-US" w:eastAsia="zh-CN"/>
              </w:rPr>
            </w:pPr>
            <w:r>
              <w:rPr>
                <w:rFonts w:hint="eastAsia"/>
                <w:color w:val="000000"/>
                <w:spacing w:val="4"/>
                <w:position w:val="6"/>
                <w:lang w:val="en-US" w:eastAsia="zh-CN"/>
              </w:rPr>
              <w:t>具备托盘转向机构</w:t>
            </w:r>
          </w:p>
        </w:tc>
        <w:tc>
          <w:tcPr>
            <w:tcW w:w="1328" w:type="dxa"/>
            <w:vAlign w:val="center"/>
          </w:tcPr>
          <w:p>
            <w:pPr>
              <w:spacing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color w:val="000000"/>
                <w:spacing w:val="4"/>
                <w:position w:val="6"/>
                <w:lang w:val="en-US" w:eastAsia="zh-CN"/>
              </w:rPr>
            </w:pPr>
            <w:r>
              <w:rPr>
                <w:rFonts w:hint="eastAsia"/>
                <w:color w:val="000000"/>
                <w:spacing w:val="4"/>
                <w:position w:val="6"/>
                <w:lang w:val="en-US" w:eastAsia="zh-CN"/>
              </w:rPr>
              <w:t>具备缺支、漏贴标检测剔除系统</w:t>
            </w:r>
          </w:p>
        </w:tc>
        <w:tc>
          <w:tcPr>
            <w:tcW w:w="1328" w:type="dxa"/>
            <w:vAlign w:val="center"/>
          </w:tcPr>
          <w:p>
            <w:pPr>
              <w:spacing w:line="360" w:lineRule="auto"/>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color w:val="000000"/>
                <w:spacing w:val="4"/>
                <w:position w:val="6"/>
                <w:lang w:val="en-US" w:eastAsia="zh-CN"/>
              </w:rPr>
            </w:pPr>
            <w:r>
              <w:rPr>
                <w:rFonts w:hint="eastAsia"/>
                <w:color w:val="000000"/>
                <w:spacing w:val="4"/>
                <w:position w:val="6"/>
                <w:lang w:val="en-US" w:eastAsia="zh-CN"/>
              </w:rPr>
              <w:t>缺支、漏贴标检测剔除系统光源采用输送带背面打光方式</w:t>
            </w:r>
          </w:p>
        </w:tc>
        <w:tc>
          <w:tcPr>
            <w:tcW w:w="1328" w:type="dxa"/>
            <w:vAlign w:val="center"/>
          </w:tcPr>
          <w:p>
            <w:pPr>
              <w:spacing w:line="360" w:lineRule="auto"/>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期望</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color w:val="000000"/>
                <w:spacing w:val="4"/>
                <w:position w:val="6"/>
                <w:lang w:val="en-US" w:eastAsia="zh-CN"/>
              </w:rPr>
            </w:pPr>
            <w:r>
              <w:rPr>
                <w:rFonts w:hint="eastAsia"/>
                <w:color w:val="000000"/>
                <w:spacing w:val="4"/>
                <w:position w:val="6"/>
                <w:lang w:val="en-US" w:eastAsia="zh-CN"/>
              </w:rPr>
              <w:t>缺支、漏贴标检测剔除系统误检率低于0.1%</w:t>
            </w:r>
          </w:p>
        </w:tc>
        <w:tc>
          <w:tcPr>
            <w:tcW w:w="1328" w:type="dxa"/>
            <w:vAlign w:val="center"/>
          </w:tcPr>
          <w:p>
            <w:pPr>
              <w:spacing w:line="360" w:lineRule="auto"/>
              <w:jc w:val="center"/>
              <w:rPr>
                <w:rFonts w:hint="eastAsia" w:ascii="宋体" w:hAnsi="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color w:val="000000"/>
                <w:spacing w:val="4"/>
                <w:position w:val="6"/>
                <w:lang w:val="en-US" w:eastAsia="zh-CN"/>
              </w:rPr>
            </w:pPr>
            <w:r>
              <w:rPr>
                <w:rFonts w:hint="eastAsia"/>
                <w:color w:val="000000"/>
                <w:spacing w:val="4"/>
                <w:position w:val="6"/>
                <w:lang w:val="en-US" w:eastAsia="zh-CN"/>
              </w:rPr>
              <w:t>爬坡高度900±30mm</w:t>
            </w:r>
          </w:p>
        </w:tc>
        <w:tc>
          <w:tcPr>
            <w:tcW w:w="1328" w:type="dxa"/>
            <w:vAlign w:val="center"/>
          </w:tcPr>
          <w:p>
            <w:pPr>
              <w:spacing w:line="360" w:lineRule="auto"/>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5A5A5" w:themeFill="background1" w:themeFillShade="A6"/>
            <w:vAlign w:val="center"/>
          </w:tcPr>
          <w:p>
            <w:pPr>
              <w:spacing w:line="360" w:lineRule="auto"/>
              <w:jc w:val="center"/>
              <w:rPr>
                <w:rFonts w:ascii="宋体" w:hAnsi="宋体"/>
                <w:color w:val="000000"/>
                <w:sz w:val="24"/>
                <w:szCs w:val="24"/>
              </w:rPr>
            </w:pPr>
            <w:r>
              <w:rPr>
                <w:rFonts w:hint="eastAsia"/>
                <w:color w:val="000000"/>
                <w:sz w:val="24"/>
              </w:rPr>
              <w:t>控制系统要求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cs="Arial"/>
                <w:color w:val="000000"/>
              </w:rPr>
              <w:t>设备既可以独立运行又能连线生产，可以提供上下端设备连线所用的控制点</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cs="Arial"/>
                <w:color w:val="000000"/>
              </w:rPr>
              <w:t>控制系统具有操作员、工艺员和管理员三级密码管理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default" w:eastAsia="宋体" w:cs="Arial"/>
                <w:color w:val="000000"/>
                <w:lang w:val="en-US" w:eastAsia="zh-CN"/>
              </w:rPr>
            </w:pPr>
            <w:r>
              <w:rPr>
                <w:rFonts w:hint="eastAsia" w:cs="Arial"/>
                <w:color w:val="000000"/>
              </w:rPr>
              <w:t>程序的编程及控制应包括手动和自动过程，</w:t>
            </w:r>
            <w:r>
              <w:rPr>
                <w:rFonts w:hint="eastAsia" w:cs="Arial"/>
                <w:color w:val="000000"/>
                <w:lang w:val="en-US" w:eastAsia="zh-CN"/>
              </w:rPr>
              <w:t>具备点动运行功能，各项功能可单独关闭和开启</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hint="eastAsia" w:cs="Arial"/>
                <w:color w:val="000000"/>
              </w:rPr>
            </w:pPr>
            <w:r>
              <w:rPr>
                <w:rFonts w:hint="eastAsia" w:cs="Arial"/>
                <w:color w:val="000000"/>
              </w:rPr>
              <w:t>贴签速度可无极变速，光电眼可根据标签透光度自行调节</w:t>
            </w:r>
          </w:p>
        </w:tc>
        <w:tc>
          <w:tcPr>
            <w:tcW w:w="1328" w:type="dxa"/>
            <w:vAlign w:val="center"/>
          </w:tcPr>
          <w:p>
            <w:pPr>
              <w:spacing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cs="Arial"/>
                <w:color w:val="000000"/>
              </w:rPr>
              <w:t>整机协调性好，可同步完成打码、贴标</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cs="Arial"/>
                <w:color w:val="000000"/>
              </w:rPr>
              <w:t>不合格品有自动检测剔除功能，当异常情况发生时，如缺标、缺瓶、标签断带、剔除不成功等应显示故障并停机</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spacing w:val="4"/>
                <w:position w:val="6"/>
              </w:rPr>
            </w:pPr>
            <w:r>
              <w:rPr>
                <w:rFonts w:hint="eastAsia" w:cs="Arial"/>
                <w:color w:val="000000"/>
              </w:rPr>
              <w:t>自动控制采用</w:t>
            </w:r>
            <w:r>
              <w:rPr>
                <w:rFonts w:cs="Arial"/>
                <w:color w:val="000000"/>
              </w:rPr>
              <w:t xml:space="preserve"> PLC </w:t>
            </w:r>
            <w:r>
              <w:rPr>
                <w:rFonts w:hint="eastAsia" w:cs="Arial"/>
                <w:color w:val="000000"/>
              </w:rPr>
              <w:t>控制，触摸屏、交流接触器供应商应提供详细的电器部件生产厂家的清单附在投标书当中</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cs="Arial"/>
                <w:color w:val="000000"/>
              </w:rPr>
              <w:t>自控系统预留至少2组</w:t>
            </w:r>
            <w:r>
              <w:rPr>
                <w:rFonts w:cs="Arial"/>
                <w:color w:val="000000"/>
              </w:rPr>
              <w:t>PLC</w:t>
            </w:r>
            <w:r>
              <w:rPr>
                <w:rFonts w:hint="eastAsia" w:cs="Arial"/>
                <w:color w:val="000000"/>
              </w:rPr>
              <w:t>输入</w:t>
            </w:r>
            <w:r>
              <w:rPr>
                <w:rFonts w:cs="Arial"/>
                <w:color w:val="000000"/>
              </w:rPr>
              <w:t>/</w:t>
            </w:r>
            <w:r>
              <w:rPr>
                <w:rFonts w:hint="eastAsia" w:cs="Arial"/>
                <w:color w:val="000000"/>
              </w:rPr>
              <w:t>输出接点</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color w:val="000000"/>
                <w:lang w:val="zh-CN"/>
              </w:rPr>
              <w:t>参数设定必须通过用户权限管理保护（密码）</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color w:val="000000"/>
                <w:lang w:val="zh-CN"/>
              </w:rPr>
            </w:pPr>
            <w:r>
              <w:rPr>
                <w:rFonts w:hint="eastAsia" w:cs="Arial"/>
                <w:color w:val="000000"/>
              </w:rPr>
              <w:t>断电时，机器逐渐停稳，以保护操作工、设备和产品。恢复供电后设备不能自动开机，必须人工启动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pStyle w:val="7"/>
              <w:spacing w:line="360" w:lineRule="auto"/>
              <w:rPr>
                <w:rFonts w:cs="Arial"/>
                <w:color w:val="000000"/>
              </w:rPr>
            </w:pPr>
            <w:r>
              <w:rPr>
                <w:rFonts w:hint="eastAsia"/>
              </w:rPr>
              <w:t>送标器采用施耐德等全球知名品牌伺服电机驱动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spacing w:line="360" w:lineRule="auto"/>
              <w:ind w:left="12"/>
              <w:rPr>
                <w:rFonts w:ascii="宋体" w:cs="Arial"/>
                <w:color w:val="000000"/>
                <w:sz w:val="24"/>
              </w:rPr>
            </w:pPr>
            <w:r>
              <w:rPr>
                <w:rFonts w:hint="eastAsia" w:ascii="宋体" w:hAnsi="宋体"/>
                <w:color w:val="000000"/>
                <w:sz w:val="24"/>
                <w:lang w:val="zh-CN"/>
              </w:rPr>
              <w:t>系统应具有诊断功能以识别和阐述故障，显示导致设备停机的故障</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spacing w:line="360" w:lineRule="auto"/>
              <w:ind w:left="12"/>
              <w:rPr>
                <w:rFonts w:ascii="宋体" w:hAnsi="宋体"/>
                <w:color w:val="000000"/>
                <w:sz w:val="24"/>
                <w:lang w:val="zh-CN"/>
              </w:rPr>
            </w:pPr>
            <w:r>
              <w:rPr>
                <w:rFonts w:hint="eastAsia" w:ascii="宋体" w:hAnsi="宋体"/>
                <w:color w:val="000000"/>
                <w:sz w:val="24"/>
                <w:lang w:val="zh-CN"/>
              </w:rPr>
              <w:t>可配置系统的设计应能够防止断电情况下数据和</w:t>
            </w:r>
            <w:r>
              <w:rPr>
                <w:rFonts w:ascii="宋体" w:hAnsi="宋体"/>
                <w:color w:val="000000"/>
                <w:sz w:val="24"/>
                <w:lang w:val="zh-CN"/>
              </w:rPr>
              <w:t>/</w:t>
            </w:r>
            <w:r>
              <w:rPr>
                <w:rFonts w:hint="eastAsia" w:ascii="宋体" w:hAnsi="宋体"/>
                <w:color w:val="000000"/>
                <w:sz w:val="24"/>
                <w:lang w:val="zh-CN"/>
              </w:rPr>
              <w:t>或配置参数的丢失</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spacing w:line="360" w:lineRule="auto"/>
              <w:ind w:left="12"/>
              <w:rPr>
                <w:rFonts w:ascii="宋体" w:hAnsi="宋体"/>
                <w:color w:val="000000"/>
                <w:sz w:val="24"/>
                <w:lang w:val="zh-CN"/>
              </w:rPr>
            </w:pPr>
            <w:r>
              <w:rPr>
                <w:rFonts w:hint="eastAsia" w:hAnsi="宋体" w:cs="Arial"/>
                <w:color w:val="000000"/>
                <w:sz w:val="24"/>
              </w:rPr>
              <w:t>能对生产过程中的其他异常情况进行监控</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spacing w:line="360" w:lineRule="auto"/>
              <w:ind w:left="12"/>
              <w:rPr>
                <w:rFonts w:hAnsi="宋体" w:cs="Arial"/>
                <w:color w:val="000000"/>
                <w:sz w:val="24"/>
              </w:rPr>
            </w:pPr>
            <w:r>
              <w:rPr>
                <w:rFonts w:hint="eastAsia" w:ascii="宋体" w:hAnsi="宋体"/>
                <w:sz w:val="24"/>
              </w:rPr>
              <w:t>系统生产数据可统计和记录</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shd w:val="clear" w:color="auto" w:fill="FFFFFF" w:themeFill="background1"/>
            <w:vAlign w:val="center"/>
          </w:tcPr>
          <w:p>
            <w:pPr>
              <w:spacing w:line="360" w:lineRule="auto"/>
              <w:ind w:left="12"/>
              <w:rPr>
                <w:rFonts w:ascii="宋体" w:hAnsi="宋体"/>
                <w:sz w:val="24"/>
              </w:rPr>
            </w:pPr>
            <w:r>
              <w:rPr>
                <w:rFonts w:ascii="宋体" w:hAnsi="宋体"/>
                <w:sz w:val="24"/>
              </w:rPr>
              <w:t>有急停开关</w:t>
            </w:r>
            <w:r>
              <w:rPr>
                <w:rFonts w:hint="eastAsia" w:ascii="宋体" w:hAnsi="宋体"/>
                <w:sz w:val="24"/>
              </w:rPr>
              <w:t>，</w:t>
            </w:r>
            <w:r>
              <w:rPr>
                <w:rFonts w:ascii="宋体" w:hAnsi="宋体"/>
                <w:sz w:val="24"/>
              </w:rPr>
              <w:t>按下该键是</w:t>
            </w:r>
            <w:r>
              <w:rPr>
                <w:rFonts w:hint="eastAsia" w:ascii="宋体" w:hAnsi="宋体"/>
                <w:sz w:val="24"/>
              </w:rPr>
              <w:t>，</w:t>
            </w:r>
            <w:r>
              <w:rPr>
                <w:rFonts w:ascii="宋体" w:hAnsi="宋体"/>
                <w:sz w:val="24"/>
              </w:rPr>
              <w:t>系统应立即关闭</w:t>
            </w:r>
            <w:r>
              <w:rPr>
                <w:rFonts w:hint="eastAsia" w:ascii="宋体" w:hAnsi="宋体"/>
                <w:sz w:val="24"/>
              </w:rPr>
              <w:t>，</w:t>
            </w:r>
            <w:r>
              <w:rPr>
                <w:rFonts w:ascii="宋体" w:hAnsi="宋体"/>
                <w:sz w:val="24"/>
              </w:rPr>
              <w:t>复位该键时</w:t>
            </w:r>
            <w:r>
              <w:rPr>
                <w:rFonts w:hint="eastAsia" w:ascii="宋体" w:hAnsi="宋体"/>
                <w:sz w:val="24"/>
              </w:rPr>
              <w:t>，</w:t>
            </w:r>
            <w:r>
              <w:rPr>
                <w:rFonts w:ascii="宋体" w:hAnsi="宋体"/>
                <w:sz w:val="24"/>
              </w:rPr>
              <w:t>系统不会自动启动</w:t>
            </w:r>
            <w:r>
              <w:rPr>
                <w:rFonts w:hint="eastAsia" w:ascii="宋体" w:hAnsi="宋体"/>
                <w:sz w:val="24"/>
              </w:rPr>
              <w:t>，</w:t>
            </w:r>
            <w:r>
              <w:rPr>
                <w:rFonts w:ascii="宋体" w:hAnsi="宋体"/>
                <w:sz w:val="24"/>
              </w:rPr>
              <w:t>只有按下启动键时系统才能重新启动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hint="eastAsia" w:ascii="宋体" w:hAnsi="宋体"/>
                <w:bCs/>
                <w:color w:val="000000"/>
                <w:sz w:val="24"/>
                <w:szCs w:val="24"/>
              </w:rPr>
              <w:t>安装要求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Times New Roman"/>
                <w:color w:val="000000"/>
                <w:lang w:val="da-DK"/>
              </w:rPr>
            </w:pPr>
            <w:r>
              <w:rPr>
                <w:rFonts w:cs="Arial"/>
              </w:rPr>
              <w:t>在启动订单和安装设备之前，设备供应商应提供一份工作计划。以便于公司做好相关准备工作。</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pStyle w:val="7"/>
              <w:spacing w:line="360" w:lineRule="auto"/>
              <w:rPr>
                <w:rFonts w:cs="Times New Roman"/>
                <w:color w:val="000000"/>
                <w:lang w:val="da-DK"/>
              </w:rPr>
            </w:pPr>
            <w:r>
              <w:rPr>
                <w:rFonts w:cs="Arial"/>
              </w:rPr>
              <w:t>货期</w:t>
            </w:r>
            <w:r>
              <w:rPr>
                <w:rFonts w:hint="eastAsia" w:cs="Arial"/>
              </w:rPr>
              <w:t>：合同签订后</w:t>
            </w:r>
            <w:r>
              <w:rPr>
                <w:rFonts w:hint="eastAsia" w:cs="Arial"/>
                <w:lang w:val="en-US" w:eastAsia="zh-CN"/>
              </w:rPr>
              <w:t>70</w:t>
            </w:r>
            <w:r>
              <w:rPr>
                <w:rFonts w:hint="eastAsia" w:cs="Arial"/>
              </w:rPr>
              <w:t>天</w:t>
            </w:r>
          </w:p>
        </w:tc>
        <w:tc>
          <w:tcPr>
            <w:tcW w:w="1328" w:type="dxa"/>
            <w:vAlign w:val="center"/>
          </w:tcPr>
          <w:p>
            <w:pPr>
              <w:spacing w:line="360" w:lineRule="auto"/>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color w:val="000000"/>
                <w:sz w:val="24"/>
                <w:szCs w:val="24"/>
              </w:rPr>
              <w:t>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cs="Arial"/>
                <w:color w:val="000000"/>
                <w:sz w:val="24"/>
              </w:rPr>
              <w:t>设备应贴有统一的设备铭牌</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hint="eastAsia" w:ascii="宋体" w:hAnsi="宋体" w:cs="Arial"/>
                <w:color w:val="000000"/>
                <w:sz w:val="24"/>
              </w:rPr>
            </w:pPr>
            <w:r>
              <w:rPr>
                <w:rFonts w:hint="eastAsia" w:ascii="宋体" w:hAnsi="宋体" w:cs="Arial"/>
                <w:sz w:val="24"/>
                <w:lang w:val="en-US" w:eastAsia="zh-CN"/>
              </w:rPr>
              <w:t>有夹伤风险的地方有局部防护罩</w:t>
            </w:r>
          </w:p>
        </w:tc>
        <w:tc>
          <w:tcPr>
            <w:tcW w:w="1328" w:type="dxa"/>
            <w:vAlign w:val="center"/>
          </w:tcPr>
          <w:p>
            <w:pPr>
              <w:spacing w:line="360" w:lineRule="auto"/>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cs="Arial"/>
                <w:color w:val="000000"/>
                <w:sz w:val="24"/>
              </w:rPr>
              <w:t>设备接地性能可靠</w:t>
            </w:r>
            <w:r>
              <w:rPr>
                <w:rFonts w:hint="eastAsia" w:ascii="宋体" w:hAnsi="宋体" w:cs="Arial"/>
                <w:color w:val="000000"/>
                <w:sz w:val="24"/>
                <w:lang w:val="en-US" w:eastAsia="zh-CN"/>
              </w:rPr>
              <w:t>接地电阻少于＜4Ω</w:t>
            </w:r>
            <w:r>
              <w:rPr>
                <w:rFonts w:hint="eastAsia" w:ascii="宋体" w:hAnsi="宋体" w:cs="Arial"/>
                <w:color w:val="000000"/>
                <w:sz w:val="24"/>
              </w:rPr>
              <w:t>，防止产生静电</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设备任何部位不能有锋利的边缘和尖角</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优化设计，易于接近的区域安装紧急停止按钮，以减少人机工程伤害</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断电时，机器逐渐停稳，以保护操作工、设备和产品</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恢复供电后机器不能自动开机，必须人工启动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电气系统的安全性能应符合相应的国家标准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安全性能符合相关安全标准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s="Arial"/>
                <w:color w:val="000000"/>
                <w:sz w:val="24"/>
              </w:rPr>
            </w:pPr>
            <w:r>
              <w:rPr>
                <w:rFonts w:hint="eastAsia" w:ascii="宋体" w:hAnsi="宋体" w:cs="Arial"/>
                <w:color w:val="000000"/>
                <w:sz w:val="24"/>
              </w:rPr>
              <w:t>设备具有状态提示灯或蜂鸣报警器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522" w:type="dxa"/>
            <w:gridSpan w:val="4"/>
            <w:shd w:val="clear" w:color="auto" w:fill="A4A4A4" w:themeFill="background1" w:themeFillShade="A5"/>
            <w:vAlign w:val="center"/>
          </w:tcPr>
          <w:p>
            <w:pPr>
              <w:jc w:val="center"/>
              <w:rPr>
                <w:rFonts w:ascii="宋体" w:hAnsi="宋体"/>
                <w:color w:val="000000"/>
                <w:sz w:val="24"/>
                <w:szCs w:val="24"/>
              </w:rPr>
            </w:pPr>
            <w:r>
              <w:rPr>
                <w:rFonts w:hint="eastAsia"/>
                <w:sz w:val="24"/>
                <w:szCs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olor w:val="000000"/>
                <w:sz w:val="24"/>
                <w:szCs w:val="24"/>
              </w:rPr>
            </w:pPr>
            <w:r>
              <w:rPr>
                <w:rFonts w:hint="eastAsia"/>
                <w:sz w:val="24"/>
                <w:szCs w:val="24"/>
              </w:rPr>
              <w:t>一、FAT</w:t>
            </w:r>
            <w:r>
              <w:rPr>
                <w:rFonts w:hint="eastAsia"/>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spacing w:line="360" w:lineRule="auto"/>
              <w:jc w:val="both"/>
              <w:textAlignment w:val="baseline"/>
              <w:rPr>
                <w:rFonts w:ascii="宋体" w:hAnsi="宋体"/>
                <w:color w:val="000000"/>
                <w:sz w:val="24"/>
                <w:szCs w:val="24"/>
              </w:rPr>
            </w:pPr>
            <w:r>
              <w:rPr>
                <w:rFonts w:hint="eastAsia" w:ascii="宋体" w:hAnsi="宋体"/>
                <w:sz w:val="24"/>
              </w:rPr>
              <w:t>系统产能、质量达到设计要求</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line="360" w:lineRule="auto"/>
              <w:ind w:left="32" w:leftChars="6" w:hanging="19" w:hangingChars="8"/>
              <w:rPr>
                <w:rFonts w:ascii="宋体" w:hAnsi="宋体"/>
                <w:bCs/>
                <w:sz w:val="24"/>
              </w:rPr>
            </w:pPr>
            <w:r>
              <w:rPr>
                <w:rFonts w:hint="eastAsia" w:ascii="宋体" w:hAnsi="宋体"/>
                <w:bCs/>
                <w:sz w:val="24"/>
              </w:rPr>
              <w:t>协助用户编写设备的FAT文件（设备工厂IQ/OQ）经用户确认后与用户共同实施</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line="360" w:lineRule="auto"/>
              <w:ind w:left="32" w:leftChars="6" w:hanging="19" w:hangingChars="8"/>
              <w:rPr>
                <w:rFonts w:ascii="宋体" w:hAnsi="宋体"/>
                <w:bCs/>
                <w:sz w:val="24"/>
              </w:rPr>
            </w:pPr>
            <w:r>
              <w:rPr>
                <w:rFonts w:hint="eastAsia"/>
                <w:bCs/>
                <w:sz w:val="24"/>
              </w:rPr>
              <w:t>包装满足运输和装卸要求，防潮湿、防磕碰、防振动，由于包装不良而造成的任何损坏，卖方承担全部损失和费用</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olor w:val="000000"/>
                <w:sz w:val="24"/>
                <w:szCs w:val="24"/>
              </w:rPr>
            </w:pPr>
            <w:r>
              <w:rPr>
                <w:rFonts w:hint="eastAsia"/>
                <w:b/>
                <w:sz w:val="24"/>
                <w:szCs w:val="24"/>
              </w:rPr>
              <w:t>二、文件资料要求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before="120" w:after="120"/>
              <w:rPr>
                <w:rFonts w:ascii="宋体" w:hAnsi="宋体" w:cs="Arial"/>
                <w:sz w:val="24"/>
              </w:rPr>
            </w:pPr>
            <w:r>
              <w:rPr>
                <w:rFonts w:ascii="宋体" w:hAnsi="宋体" w:cs="Arial"/>
                <w:sz w:val="24"/>
              </w:rPr>
              <w:t>设备供应商应提供</w:t>
            </w:r>
            <w:r>
              <w:rPr>
                <w:rFonts w:hint="eastAsia" w:ascii="宋体" w:hAnsi="宋体" w:cs="Arial"/>
                <w:sz w:val="24"/>
              </w:rPr>
              <w:t>一</w:t>
            </w:r>
            <w:r>
              <w:rPr>
                <w:rFonts w:ascii="宋体" w:hAnsi="宋体" w:cs="Arial"/>
                <w:sz w:val="24"/>
              </w:rPr>
              <w:t>套操作手册，包括以下内容：</w:t>
            </w:r>
          </w:p>
          <w:p>
            <w:pPr>
              <w:tabs>
                <w:tab w:val="left" w:pos="426"/>
                <w:tab w:val="left" w:pos="2670"/>
              </w:tabs>
              <w:spacing w:before="60" w:after="60"/>
              <w:ind w:left="630"/>
              <w:rPr>
                <w:rFonts w:ascii="宋体" w:hAnsi="宋体" w:cs="Arial"/>
                <w:sz w:val="24"/>
              </w:rPr>
            </w:pPr>
            <w:r>
              <w:rPr>
                <w:rFonts w:ascii="宋体" w:hAnsi="宋体" w:cs="Arial"/>
                <w:sz w:val="24"/>
              </w:rPr>
              <w:t>A.   技术数据</w:t>
            </w:r>
            <w:r>
              <w:rPr>
                <w:rFonts w:ascii="宋体" w:hAnsi="宋体" w:cs="Arial"/>
                <w:sz w:val="24"/>
              </w:rPr>
              <w:tab/>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设备技术说明</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设备详细尺寸</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描述</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材质证明文件</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单体设备、部件、仪器仪表等相关文件</w:t>
            </w:r>
          </w:p>
          <w:p>
            <w:pPr>
              <w:tabs>
                <w:tab w:val="left" w:pos="567"/>
                <w:tab w:val="left" w:pos="851"/>
              </w:tabs>
              <w:spacing w:before="60" w:after="60"/>
              <w:ind w:left="630"/>
              <w:rPr>
                <w:rFonts w:ascii="宋体" w:hAnsi="宋体" w:cs="Arial"/>
                <w:sz w:val="24"/>
              </w:rPr>
            </w:pPr>
            <w:r>
              <w:rPr>
                <w:rFonts w:ascii="宋体" w:hAnsi="宋体" w:cs="Arial"/>
                <w:sz w:val="24"/>
              </w:rPr>
              <w:t>B.  安装和空间要求</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基础和空间要求</w:t>
            </w:r>
          </w:p>
          <w:p>
            <w:pPr>
              <w:tabs>
                <w:tab w:val="left" w:pos="567"/>
              </w:tabs>
              <w:spacing w:before="60" w:after="60"/>
              <w:ind w:left="630"/>
              <w:rPr>
                <w:rFonts w:ascii="宋体" w:hAnsi="宋体" w:cs="Arial"/>
                <w:sz w:val="24"/>
              </w:rPr>
            </w:pPr>
            <w:r>
              <w:rPr>
                <w:rFonts w:ascii="宋体" w:hAnsi="宋体" w:cs="Arial"/>
                <w:sz w:val="24"/>
              </w:rPr>
              <w:t>C.    使用说明书</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操作</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检查和问题解答</w:t>
            </w:r>
          </w:p>
          <w:p>
            <w:pPr>
              <w:tabs>
                <w:tab w:val="left" w:pos="567"/>
                <w:tab w:val="left" w:pos="851"/>
              </w:tabs>
              <w:spacing w:before="60" w:after="60"/>
              <w:ind w:left="630"/>
              <w:rPr>
                <w:rFonts w:ascii="宋体" w:hAnsi="宋体" w:cs="Arial"/>
                <w:sz w:val="24"/>
              </w:rPr>
            </w:pPr>
            <w:r>
              <w:rPr>
                <w:rFonts w:ascii="宋体" w:hAnsi="宋体" w:cs="Arial"/>
                <w:sz w:val="24"/>
              </w:rPr>
              <w:t>D.   维护说明书</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维护</w:t>
            </w:r>
          </w:p>
          <w:p>
            <w:pPr>
              <w:tabs>
                <w:tab w:val="left" w:pos="567"/>
                <w:tab w:val="left" w:pos="851"/>
              </w:tabs>
              <w:spacing w:before="60" w:after="60"/>
              <w:ind w:left="630"/>
              <w:rPr>
                <w:rFonts w:ascii="宋体" w:hAnsi="宋体" w:cs="Arial"/>
                <w:sz w:val="24"/>
              </w:rPr>
            </w:pPr>
            <w:r>
              <w:rPr>
                <w:rFonts w:ascii="宋体" w:hAnsi="宋体" w:cs="Arial"/>
                <w:sz w:val="24"/>
              </w:rPr>
              <w:t>E.    图纸和零件表</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电气部分</w:t>
            </w:r>
          </w:p>
          <w:p>
            <w:pPr>
              <w:numPr>
                <w:ilvl w:val="2"/>
                <w:numId w:val="2"/>
              </w:numPr>
              <w:tabs>
                <w:tab w:val="left" w:pos="1527"/>
                <w:tab w:val="clear" w:pos="1800"/>
              </w:tabs>
              <w:spacing w:before="60" w:after="60"/>
              <w:ind w:left="1849" w:leftChars="539" w:hanging="717" w:hangingChars="299"/>
              <w:rPr>
                <w:rFonts w:ascii="宋体" w:hAnsi="宋体" w:cs="Arial"/>
                <w:sz w:val="24"/>
              </w:rPr>
            </w:pPr>
            <w:r>
              <w:rPr>
                <w:rFonts w:ascii="宋体" w:hAnsi="宋体" w:cs="Arial"/>
                <w:sz w:val="24"/>
              </w:rPr>
              <w:t>仪器仪表</w:t>
            </w:r>
          </w:p>
          <w:p>
            <w:pPr>
              <w:tabs>
                <w:tab w:val="left" w:pos="990"/>
              </w:tabs>
              <w:spacing w:before="60" w:after="60"/>
              <w:ind w:left="630"/>
              <w:rPr>
                <w:rFonts w:ascii="宋体" w:hAnsi="宋体" w:cs="Arial"/>
                <w:sz w:val="24"/>
              </w:rPr>
            </w:pPr>
            <w:r>
              <w:rPr>
                <w:rFonts w:ascii="宋体" w:hAnsi="宋体" w:cs="Arial"/>
                <w:sz w:val="24"/>
              </w:rPr>
              <w:t>F.   仪器仪表校准证明</w:t>
            </w:r>
          </w:p>
          <w:p>
            <w:pPr>
              <w:tabs>
                <w:tab w:val="left" w:pos="993"/>
              </w:tabs>
              <w:spacing w:line="360" w:lineRule="auto"/>
              <w:textAlignment w:val="baseline"/>
              <w:rPr>
                <w:rFonts w:ascii="宋体" w:hAnsi="宋体"/>
                <w:color w:val="000000"/>
                <w:sz w:val="24"/>
                <w:szCs w:val="24"/>
              </w:rPr>
            </w:pPr>
            <w:r>
              <w:rPr>
                <w:rFonts w:ascii="宋体" w:hAnsi="宋体" w:cs="Arial"/>
                <w:sz w:val="24"/>
              </w:rPr>
              <w:t>G.   推荐的备件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before="120" w:after="120"/>
              <w:rPr>
                <w:rFonts w:ascii="宋体" w:hAnsi="宋体" w:cs="Arial"/>
                <w:sz w:val="24"/>
              </w:rPr>
            </w:pPr>
            <w:r>
              <w:rPr>
                <w:rFonts w:hint="eastAsia" w:ascii="宋体" w:hAnsi="宋体"/>
                <w:caps/>
                <w:sz w:val="24"/>
              </w:rPr>
              <w:t>须提供电路控制线路图</w:t>
            </w:r>
            <w:r>
              <w:rPr>
                <w:rFonts w:ascii="宋体" w:hAnsi="宋体"/>
                <w:caps/>
                <w:sz w:val="24"/>
              </w:rPr>
              <w:t>(</w:t>
            </w:r>
            <w:r>
              <w:rPr>
                <w:rFonts w:hint="eastAsia" w:ascii="宋体" w:hAnsi="宋体"/>
                <w:caps/>
                <w:sz w:val="24"/>
              </w:rPr>
              <w:t>电路之配线以符号标明于接在线以便核查</w:t>
            </w:r>
            <w:r>
              <w:rPr>
                <w:rFonts w:ascii="宋体" w:hAnsi="宋体"/>
                <w:caps/>
                <w:sz w:val="24"/>
              </w:rPr>
              <w:t>)</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before="120" w:after="120"/>
              <w:rPr>
                <w:rFonts w:ascii="宋体" w:hAnsi="宋体"/>
                <w:caps/>
                <w:sz w:val="24"/>
              </w:rPr>
            </w:pPr>
            <w:r>
              <w:rPr>
                <w:rFonts w:hint="eastAsia" w:ascii="宋体" w:hAnsi="宋体"/>
                <w:caps/>
                <w:sz w:val="24"/>
              </w:rPr>
              <w:t>须协助用户编写确认文件（用户工厂DQ/IQ/OQ/PQ部份），并与用户共同完成确认</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spacing w:line="360" w:lineRule="auto"/>
              <w:rPr>
                <w:rFonts w:ascii="宋体" w:hAnsi="宋体"/>
                <w:color w:val="000000"/>
                <w:sz w:val="24"/>
                <w:szCs w:val="24"/>
              </w:rPr>
            </w:pPr>
            <w:r>
              <w:rPr>
                <w:rFonts w:hint="eastAsia"/>
                <w:b/>
                <w:sz w:val="24"/>
                <w:szCs w:val="24"/>
              </w:rPr>
              <w:t>三、SAT要求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before="120" w:after="120"/>
              <w:rPr>
                <w:rFonts w:ascii="宋体" w:hAnsi="宋体"/>
                <w:caps/>
                <w:sz w:val="24"/>
              </w:rPr>
            </w:pPr>
            <w:r>
              <w:rPr>
                <w:rFonts w:hint="eastAsia" w:ascii="宋体" w:hAnsi="宋体"/>
                <w:bCs/>
                <w:sz w:val="24"/>
              </w:rPr>
              <w:t>依合约内容条件逐一验收</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spacing w:before="120" w:after="120"/>
              <w:rPr>
                <w:rFonts w:ascii="宋体" w:hAnsi="宋体"/>
                <w:bCs/>
                <w:sz w:val="24"/>
              </w:rPr>
            </w:pPr>
            <w:r>
              <w:rPr>
                <w:rFonts w:hint="eastAsia" w:ascii="宋体" w:hAnsi="宋体"/>
                <w:bCs/>
                <w:sz w:val="24"/>
              </w:rPr>
              <w:t>机器安装完成后供应商应有技术人员协同我方进行产品试生产，能够连续生产三批合格产品为验收合格标准</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A4A4A4" w:themeFill="background1" w:themeFillShade="A5"/>
            <w:vAlign w:val="center"/>
          </w:tcPr>
          <w:p>
            <w:pPr>
              <w:spacing w:line="360" w:lineRule="auto"/>
              <w:jc w:val="center"/>
              <w:rPr>
                <w:rFonts w:ascii="宋体" w:hAnsi="宋体"/>
                <w:color w:val="000000"/>
                <w:sz w:val="24"/>
                <w:szCs w:val="24"/>
              </w:rPr>
            </w:pPr>
            <w:r>
              <w:rPr>
                <w:rFonts w:ascii="宋体" w:hAnsi="宋体"/>
                <w:bCs/>
                <w:color w:val="000000"/>
                <w:sz w:val="24"/>
                <w:szCs w:val="24"/>
              </w:rPr>
              <w:t>服务与维修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jc w:val="both"/>
              <w:textAlignment w:val="baseline"/>
              <w:rPr>
                <w:rFonts w:ascii="宋体" w:hAnsi="宋体"/>
                <w:color w:val="000000"/>
                <w:sz w:val="24"/>
                <w:szCs w:val="24"/>
              </w:rPr>
            </w:pPr>
            <w:r>
              <w:rPr>
                <w:rFonts w:ascii="宋体" w:hAnsi="宋体" w:cs="Arial"/>
                <w:sz w:val="24"/>
              </w:rPr>
              <w:t>设备供应商负责所有技术指导和人员培训，包括：图纸、工艺、操作、设备确认</w:t>
            </w:r>
            <w:r>
              <w:rPr>
                <w:rFonts w:hint="eastAsia" w:ascii="宋体" w:hAnsi="宋体" w:cs="Arial"/>
                <w:sz w:val="24"/>
              </w:rPr>
              <w:t>、</w:t>
            </w:r>
            <w:r>
              <w:rPr>
                <w:rFonts w:ascii="宋体" w:hAnsi="宋体" w:cs="Arial"/>
                <w:sz w:val="24"/>
              </w:rPr>
              <w:t>设备维护、设备性能及问题解答</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jc w:val="both"/>
              <w:textAlignment w:val="baseline"/>
              <w:rPr>
                <w:rFonts w:ascii="宋体" w:hAnsi="宋体"/>
                <w:color w:val="000000"/>
                <w:sz w:val="24"/>
                <w:szCs w:val="24"/>
              </w:rPr>
            </w:pPr>
            <w:r>
              <w:rPr>
                <w:rFonts w:ascii="宋体" w:hAnsi="宋体" w:cs="Arial"/>
                <w:sz w:val="24"/>
              </w:rPr>
              <w:t>设备供应商应提供不少于一年的设备保证期及终身维修服务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jc w:val="both"/>
              <w:textAlignment w:val="baseline"/>
              <w:rPr>
                <w:rFonts w:ascii="宋体" w:hAnsi="宋体"/>
                <w:color w:val="000000"/>
                <w:sz w:val="24"/>
                <w:szCs w:val="24"/>
              </w:rPr>
            </w:pPr>
            <w:r>
              <w:rPr>
                <w:rFonts w:ascii="宋体" w:hAnsi="宋体" w:cs="Arial"/>
                <w:sz w:val="24"/>
              </w:rPr>
              <w:t>保证设备出现异常状态后</w:t>
            </w:r>
            <w:r>
              <w:rPr>
                <w:rFonts w:hint="eastAsia" w:ascii="宋体" w:hAnsi="宋体" w:cs="Arial"/>
                <w:sz w:val="24"/>
              </w:rPr>
              <w:t>2小时内厂家提供咨询服务，48</w:t>
            </w:r>
            <w:r>
              <w:rPr>
                <w:rFonts w:ascii="宋体" w:hAnsi="宋体" w:cs="Arial"/>
                <w:sz w:val="24"/>
              </w:rPr>
              <w:t>小时内厂家技术人员提供现场服务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jc w:val="both"/>
              <w:textAlignment w:val="baseline"/>
              <w:rPr>
                <w:rFonts w:ascii="宋体" w:hAnsi="宋体" w:cs="Arial"/>
                <w:sz w:val="24"/>
              </w:rPr>
            </w:pPr>
            <w:r>
              <w:rPr>
                <w:rFonts w:hint="eastAsia" w:ascii="宋体" w:hAnsi="宋体" w:cs="Arial"/>
                <w:color w:val="000000"/>
                <w:sz w:val="24"/>
              </w:rPr>
              <w:t>提供可满足一年设备运行需要的易损零部件及零部件及清单（包括报价）</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Align w:val="center"/>
          </w:tcPr>
          <w:p>
            <w:pPr>
              <w:numPr>
                <w:ilvl w:val="0"/>
                <w:numId w:val="1"/>
              </w:numPr>
              <w:spacing w:line="360" w:lineRule="auto"/>
              <w:jc w:val="center"/>
              <w:rPr>
                <w:rFonts w:ascii="宋体" w:hAnsi="宋体"/>
                <w:color w:val="000000"/>
                <w:sz w:val="24"/>
                <w:szCs w:val="24"/>
              </w:rPr>
            </w:pPr>
          </w:p>
        </w:tc>
        <w:tc>
          <w:tcPr>
            <w:tcW w:w="5463" w:type="dxa"/>
            <w:vAlign w:val="center"/>
          </w:tcPr>
          <w:p>
            <w:pPr>
              <w:tabs>
                <w:tab w:val="left" w:pos="993"/>
              </w:tabs>
              <w:jc w:val="both"/>
              <w:textAlignment w:val="baseline"/>
              <w:rPr>
                <w:rFonts w:ascii="宋体" w:hAnsi="宋体" w:cs="Arial"/>
                <w:color w:val="000000"/>
                <w:sz w:val="24"/>
              </w:rPr>
            </w:pPr>
            <w:r>
              <w:rPr>
                <w:rFonts w:hint="eastAsia" w:ascii="宋体" w:hAnsi="宋体" w:cs="Arial"/>
                <w:color w:val="000000"/>
                <w:sz w:val="24"/>
              </w:rPr>
              <w:t>可长期提便捷的设备零件服务</w:t>
            </w:r>
          </w:p>
        </w:tc>
        <w:tc>
          <w:tcPr>
            <w:tcW w:w="13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必需</w:t>
            </w:r>
          </w:p>
        </w:tc>
        <w:tc>
          <w:tcPr>
            <w:tcW w:w="876" w:type="dxa"/>
            <w:vAlign w:val="center"/>
          </w:tcPr>
          <w:p>
            <w:pPr>
              <w:spacing w:line="360" w:lineRule="auto"/>
              <w:jc w:val="center"/>
              <w:rPr>
                <w:rFonts w:ascii="宋体" w:hAnsi="宋体"/>
                <w:color w:val="000000"/>
                <w:sz w:val="24"/>
                <w:szCs w:val="24"/>
              </w:rPr>
            </w:pPr>
          </w:p>
        </w:tc>
      </w:tr>
      <w:bookmarkEnd w:id="0"/>
      <w:bookmarkEnd w:id="1"/>
    </w:tbl>
    <w:p>
      <w:pPr>
        <w:spacing w:line="360" w:lineRule="auto"/>
        <w:rPr>
          <w:rFonts w:ascii="宋体" w:hAnsi="宋体"/>
          <w:b/>
          <w:sz w:val="28"/>
          <w:szCs w:val="28"/>
        </w:rPr>
      </w:pPr>
      <w:bookmarkStart w:id="2" w:name="_Toc319075710"/>
      <w:bookmarkStart w:id="3" w:name="_Toc501699507"/>
      <w:r>
        <w:rPr>
          <w:rFonts w:hint="eastAsia" w:ascii="宋体" w:hAnsi="宋体"/>
          <w:b/>
          <w:sz w:val="28"/>
          <w:szCs w:val="28"/>
        </w:rPr>
        <w:t>三、制造商资质要求及</w:t>
      </w:r>
      <w:r>
        <w:rPr>
          <w:rFonts w:ascii="宋体" w:hAnsi="宋体"/>
          <w:b/>
          <w:sz w:val="28"/>
          <w:szCs w:val="28"/>
        </w:rPr>
        <w:t>管理规范</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3.1、</w:t>
      </w:r>
      <w:r>
        <w:rPr>
          <w:rFonts w:ascii="宋体" w:hAnsi="宋体"/>
          <w:sz w:val="24"/>
          <w:szCs w:val="24"/>
        </w:rPr>
        <w:t>设备构造必须遵循所有的良好工程规范要求。供应商质量系统应遵循适用的国家或国际标准</w:t>
      </w:r>
      <w:r>
        <w:rPr>
          <w:rFonts w:hint="eastAsia" w:ascii="宋体" w:hAnsi="宋体"/>
          <w:sz w:val="24"/>
          <w:szCs w:val="24"/>
        </w:rPr>
        <w:t>。</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3.2、</w:t>
      </w:r>
      <w:r>
        <w:rPr>
          <w:rFonts w:ascii="宋体" w:hAnsi="宋体"/>
          <w:sz w:val="24"/>
          <w:szCs w:val="24"/>
        </w:rPr>
        <w:t>在设备构造所有阶段，例如设计，制造，检测和装船/出货，都应该符合相应的标准例如 GMP。</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3.3、</w:t>
      </w:r>
      <w:r>
        <w:rPr>
          <w:rFonts w:ascii="宋体" w:hAnsi="宋体"/>
          <w:sz w:val="24"/>
          <w:szCs w:val="24"/>
        </w:rPr>
        <w:t>用来读取数据</w:t>
      </w:r>
      <w:r>
        <w:rPr>
          <w:rFonts w:hint="eastAsia" w:ascii="宋体" w:hAnsi="宋体"/>
          <w:sz w:val="24"/>
          <w:szCs w:val="24"/>
        </w:rPr>
        <w:t>或</w:t>
      </w:r>
      <w:r>
        <w:rPr>
          <w:rFonts w:ascii="宋体" w:hAnsi="宋体"/>
          <w:sz w:val="24"/>
          <w:szCs w:val="24"/>
        </w:rPr>
        <w:t>控制任何参数的所有关键感应器，控制器，PLC，指示灯和任何控制器或指示器，应该校准，可以追溯到国家或国际标准。校准证书原件及可追踪性文件由供应商在 IQ 文件里提供</w:t>
      </w:r>
      <w:r>
        <w:rPr>
          <w:rFonts w:hint="eastAsia" w:ascii="宋体" w:hAnsi="宋体"/>
          <w:sz w:val="24"/>
          <w:szCs w:val="24"/>
        </w:rPr>
        <w:t>。</w:t>
      </w:r>
    </w:p>
    <w:p>
      <w:pPr>
        <w:autoSpaceDE w:val="0"/>
        <w:autoSpaceDN w:val="0"/>
        <w:adjustRightInd w:val="0"/>
        <w:spacing w:line="360" w:lineRule="exact"/>
        <w:ind w:firstLine="480" w:firstLineChars="200"/>
        <w:rPr>
          <w:rFonts w:ascii="宋体" w:hAnsi="宋体"/>
          <w:sz w:val="24"/>
          <w:szCs w:val="24"/>
        </w:rPr>
      </w:pPr>
      <w:r>
        <w:rPr>
          <w:rFonts w:hint="eastAsia" w:ascii="宋体" w:hAnsi="宋体"/>
          <w:sz w:val="24"/>
          <w:szCs w:val="24"/>
        </w:rPr>
        <w:t>3.4、</w:t>
      </w:r>
      <w:r>
        <w:rPr>
          <w:rFonts w:ascii="宋体" w:hAnsi="宋体"/>
          <w:sz w:val="24"/>
          <w:szCs w:val="24"/>
        </w:rPr>
        <w:t>供应商应提供控制和/或监测系统所用软件的所有标准说明和检测证书</w:t>
      </w:r>
      <w:r>
        <w:rPr>
          <w:rFonts w:hint="eastAsia" w:ascii="宋体" w:hAnsi="宋体"/>
          <w:sz w:val="24"/>
          <w:szCs w:val="24"/>
        </w:rPr>
        <w:t>。</w:t>
      </w:r>
    </w:p>
    <w:p>
      <w:pPr>
        <w:spacing w:line="360" w:lineRule="auto"/>
        <w:rPr>
          <w:rFonts w:ascii="宋体" w:hAnsi="宋体"/>
          <w:b/>
          <w:sz w:val="28"/>
          <w:szCs w:val="28"/>
        </w:rPr>
      </w:pPr>
      <w:r>
        <w:rPr>
          <w:rFonts w:hint="eastAsia" w:ascii="宋体" w:hAnsi="宋体"/>
          <w:b/>
          <w:sz w:val="28"/>
          <w:szCs w:val="28"/>
        </w:rPr>
        <w:t>四、 投标方须知</w:t>
      </w:r>
    </w:p>
    <w:p>
      <w:pPr>
        <w:spacing w:line="360" w:lineRule="auto"/>
        <w:rPr>
          <w:rFonts w:ascii="宋体" w:hAnsi="宋体"/>
          <w:b/>
          <w:sz w:val="24"/>
          <w:szCs w:val="24"/>
        </w:rPr>
      </w:pPr>
      <w:r>
        <w:rPr>
          <w:rFonts w:hint="eastAsia" w:ascii="宋体" w:hAnsi="宋体"/>
          <w:b/>
          <w:sz w:val="24"/>
          <w:szCs w:val="24"/>
        </w:rPr>
        <w:t>4.1投标费用</w:t>
      </w:r>
    </w:p>
    <w:p>
      <w:pPr>
        <w:autoSpaceDE w:val="0"/>
        <w:autoSpaceDN w:val="0"/>
        <w:adjustRightInd w:val="0"/>
        <w:spacing w:line="360" w:lineRule="auto"/>
        <w:ind w:firstLine="480" w:firstLineChars="200"/>
        <w:rPr>
          <w:rFonts w:ascii="宋体" w:hAnsi="宋体" w:cs="Arial"/>
          <w:sz w:val="24"/>
          <w:szCs w:val="24"/>
        </w:rPr>
      </w:pPr>
      <w:r>
        <w:rPr>
          <w:rFonts w:ascii="宋体" w:hAnsi="宋体" w:cs="Arial"/>
          <w:sz w:val="24"/>
          <w:szCs w:val="24"/>
        </w:rPr>
        <w:t>投标人应承担其投标书准备和递交所涉及的一切费用，</w:t>
      </w:r>
      <w:r>
        <w:rPr>
          <w:rFonts w:hint="eastAsia" w:ascii="宋体" w:hAnsi="宋体" w:cs="Arial"/>
          <w:sz w:val="24"/>
          <w:szCs w:val="24"/>
        </w:rPr>
        <w:t>无</w:t>
      </w:r>
      <w:r>
        <w:rPr>
          <w:rFonts w:ascii="宋体" w:hAnsi="宋体" w:cs="Arial"/>
          <w:sz w:val="24"/>
          <w:szCs w:val="24"/>
        </w:rPr>
        <w:t>论是否中标，招标人对上述费用不负任何责任。</w:t>
      </w:r>
    </w:p>
    <w:p>
      <w:pPr>
        <w:spacing w:line="360" w:lineRule="auto"/>
        <w:rPr>
          <w:rFonts w:ascii="宋体" w:hAnsi="宋体"/>
          <w:b/>
          <w:sz w:val="24"/>
          <w:szCs w:val="24"/>
        </w:rPr>
      </w:pPr>
      <w:r>
        <w:rPr>
          <w:rFonts w:hint="eastAsia" w:ascii="宋体" w:hAnsi="宋体"/>
          <w:b/>
          <w:sz w:val="24"/>
          <w:szCs w:val="24"/>
        </w:rPr>
        <w:t>4.2投标价格</w:t>
      </w:r>
    </w:p>
    <w:p>
      <w:pPr>
        <w:spacing w:line="360" w:lineRule="auto"/>
        <w:ind w:firstLine="588" w:firstLineChars="245"/>
        <w:rPr>
          <w:b/>
          <w:bCs/>
          <w:sz w:val="28"/>
          <w:szCs w:val="28"/>
        </w:rPr>
      </w:pPr>
      <w:r>
        <w:rPr>
          <w:rFonts w:ascii="宋体" w:hAnsi="宋体"/>
          <w:color w:val="000000"/>
          <w:sz w:val="24"/>
        </w:rPr>
        <w:t>投标价格应包括主机</w:t>
      </w:r>
      <w:r>
        <w:rPr>
          <w:rFonts w:hint="eastAsia" w:ascii="宋体" w:hAnsi="宋体"/>
          <w:color w:val="000000"/>
          <w:sz w:val="24"/>
        </w:rPr>
        <w:t>和</w:t>
      </w:r>
      <w:r>
        <w:rPr>
          <w:rFonts w:ascii="宋体" w:hAnsi="宋体"/>
          <w:color w:val="000000"/>
          <w:sz w:val="24"/>
        </w:rPr>
        <w:t>随机</w:t>
      </w:r>
      <w:r>
        <w:rPr>
          <w:rFonts w:hint="eastAsia" w:ascii="宋体" w:hAnsi="宋体"/>
          <w:color w:val="000000"/>
          <w:sz w:val="24"/>
        </w:rPr>
        <w:t>配</w:t>
      </w:r>
      <w:r>
        <w:rPr>
          <w:rFonts w:ascii="宋体" w:hAnsi="宋体"/>
          <w:color w:val="000000"/>
          <w:sz w:val="24"/>
        </w:rPr>
        <w:t>件，及相关制造、运输、包装、保险费、税费（包括关税、增值税）以及设计、</w:t>
      </w:r>
      <w:r>
        <w:rPr>
          <w:rFonts w:hint="eastAsia" w:ascii="宋体" w:hAnsi="宋体"/>
          <w:color w:val="000000"/>
          <w:sz w:val="24"/>
        </w:rPr>
        <w:t>安装、</w:t>
      </w:r>
      <w:r>
        <w:rPr>
          <w:rFonts w:ascii="宋体" w:hAnsi="宋体"/>
          <w:color w:val="000000"/>
          <w:sz w:val="24"/>
        </w:rPr>
        <w:t>调试</w:t>
      </w:r>
      <w:r>
        <w:rPr>
          <w:rFonts w:hint="eastAsia" w:ascii="宋体" w:hAnsi="宋体"/>
          <w:color w:val="000000"/>
          <w:sz w:val="24"/>
        </w:rPr>
        <w:t>和</w:t>
      </w:r>
      <w:r>
        <w:rPr>
          <w:rFonts w:ascii="宋体" w:hAnsi="宋体"/>
          <w:color w:val="000000"/>
          <w:sz w:val="24"/>
        </w:rPr>
        <w:t>现场验收、培训、技术服务（包括使用说明书</w:t>
      </w:r>
      <w:r>
        <w:rPr>
          <w:rFonts w:hint="eastAsia" w:ascii="宋体" w:hAnsi="宋体"/>
          <w:color w:val="000000"/>
          <w:sz w:val="24"/>
        </w:rPr>
        <w:t>，</w:t>
      </w:r>
      <w:r>
        <w:rPr>
          <w:rFonts w:ascii="宋体" w:hAnsi="宋体"/>
          <w:color w:val="000000"/>
          <w:sz w:val="24"/>
        </w:rPr>
        <w:t>产品合格</w:t>
      </w:r>
      <w:r>
        <w:rPr>
          <w:rFonts w:hint="eastAsia" w:ascii="宋体" w:hAnsi="宋体"/>
          <w:color w:val="000000"/>
          <w:sz w:val="24"/>
        </w:rPr>
        <w:t>证书，DQ、IQ、PQ及FAT报告</w:t>
      </w:r>
      <w:r>
        <w:rPr>
          <w:rFonts w:ascii="宋体" w:hAnsi="宋体"/>
          <w:color w:val="000000"/>
          <w:sz w:val="24"/>
        </w:rPr>
        <w:t>等资料）</w:t>
      </w:r>
      <w:r>
        <w:rPr>
          <w:rFonts w:hint="eastAsia" w:ascii="宋体" w:hAnsi="宋体"/>
          <w:color w:val="000000"/>
          <w:sz w:val="24"/>
        </w:rPr>
        <w:t>及</w:t>
      </w:r>
      <w:r>
        <w:rPr>
          <w:rFonts w:ascii="宋体" w:hAnsi="宋体"/>
          <w:color w:val="000000"/>
          <w:sz w:val="24"/>
        </w:rPr>
        <w:t>质保期保障等项目的全部费用及利润。</w:t>
      </w:r>
    </w:p>
    <w:p>
      <w:pPr>
        <w:spacing w:line="360" w:lineRule="auto"/>
        <w:rPr>
          <w:rFonts w:ascii="宋体" w:hAnsi="宋体"/>
          <w:b/>
          <w:sz w:val="24"/>
          <w:szCs w:val="24"/>
        </w:rPr>
      </w:pPr>
      <w:r>
        <w:rPr>
          <w:rFonts w:hint="eastAsia" w:ascii="宋体" w:hAnsi="宋体"/>
          <w:b/>
          <w:sz w:val="24"/>
          <w:szCs w:val="24"/>
        </w:rPr>
        <w:t>4.3交货期和付款方式</w:t>
      </w:r>
    </w:p>
    <w:p>
      <w:pPr>
        <w:autoSpaceDE w:val="0"/>
        <w:autoSpaceDN w:val="0"/>
        <w:adjustRightInd w:val="0"/>
        <w:spacing w:line="360" w:lineRule="auto"/>
        <w:ind w:firstLine="480" w:firstLineChars="200"/>
        <w:rPr>
          <w:rFonts w:ascii="宋体" w:cs="宋体"/>
          <w:sz w:val="24"/>
          <w:szCs w:val="24"/>
        </w:rPr>
      </w:pPr>
      <w:r>
        <w:rPr>
          <w:rFonts w:hint="eastAsia" w:ascii="宋体" w:cs="宋体"/>
          <w:sz w:val="24"/>
          <w:szCs w:val="24"/>
        </w:rPr>
        <w:t>标的货物的交货期为合同签订生效后的</w:t>
      </w:r>
      <w:r>
        <w:rPr>
          <w:rFonts w:hint="eastAsia" w:ascii="宋体" w:cs="宋体"/>
          <w:sz w:val="24"/>
          <w:szCs w:val="24"/>
          <w:lang w:val="en-US" w:eastAsia="zh-CN"/>
        </w:rPr>
        <w:t>70</w:t>
      </w:r>
      <w:bookmarkStart w:id="4" w:name="_GoBack"/>
      <w:bookmarkEnd w:id="4"/>
      <w:r>
        <w:rPr>
          <w:rFonts w:hint="eastAsia" w:ascii="宋体" w:cs="宋体"/>
          <w:sz w:val="24"/>
          <w:szCs w:val="24"/>
        </w:rPr>
        <w:t>个日历天。付款方式：合同签订后一周内预付合同价款的30%货款，货在发出前再付30%货款，货到需方指定地址并安装调试完毕，经验收合格后付合同价款的30%，剩余10%作为质保金，待质保期满后一次性付清；结算方式：采用银行汇付（含电汇）和银行承兑汇票形式，其中银行承兑汇票占比不得超过合同金额的70%。</w:t>
      </w:r>
    </w:p>
    <w:p>
      <w:pPr>
        <w:spacing w:line="360" w:lineRule="auto"/>
        <w:rPr>
          <w:rFonts w:ascii="宋体" w:hAnsi="宋体"/>
          <w:b/>
          <w:sz w:val="24"/>
          <w:szCs w:val="24"/>
        </w:rPr>
      </w:pPr>
      <w:r>
        <w:rPr>
          <w:rFonts w:hint="eastAsia" w:ascii="宋体" w:hAnsi="宋体"/>
          <w:b/>
          <w:sz w:val="24"/>
          <w:szCs w:val="24"/>
        </w:rPr>
        <w:t>4.4投标文件内容及要求</w:t>
      </w:r>
    </w:p>
    <w:p>
      <w:pPr>
        <w:autoSpaceDE w:val="0"/>
        <w:autoSpaceDN w:val="0"/>
        <w:adjustRightInd w:val="0"/>
        <w:spacing w:line="360" w:lineRule="auto"/>
        <w:rPr>
          <w:rFonts w:ascii="宋体" w:cs="宋体"/>
          <w:sz w:val="24"/>
          <w:szCs w:val="24"/>
        </w:rPr>
      </w:pPr>
      <w:r>
        <w:rPr>
          <w:rFonts w:hint="eastAsia" w:ascii="宋体" w:cs="宋体"/>
          <w:sz w:val="24"/>
          <w:szCs w:val="24"/>
        </w:rPr>
        <w:t>a.详细阐述所推荐设备具体配置清单，并标明型号规格、品牌和价格；</w:t>
      </w:r>
    </w:p>
    <w:p>
      <w:pPr>
        <w:autoSpaceDE w:val="0"/>
        <w:autoSpaceDN w:val="0"/>
        <w:adjustRightInd w:val="0"/>
        <w:spacing w:line="360" w:lineRule="auto"/>
        <w:rPr>
          <w:rFonts w:ascii="宋体" w:cs="宋体"/>
          <w:sz w:val="24"/>
          <w:szCs w:val="24"/>
        </w:rPr>
      </w:pPr>
      <w:r>
        <w:rPr>
          <w:rFonts w:hint="eastAsia" w:ascii="宋体" w:hAnsi="宋体"/>
          <w:color w:val="000000"/>
          <w:sz w:val="24"/>
        </w:rPr>
        <w:t>b.</w:t>
      </w:r>
      <w:r>
        <w:rPr>
          <w:rFonts w:ascii="宋体" w:hAnsi="宋体"/>
          <w:color w:val="000000"/>
          <w:sz w:val="24"/>
        </w:rPr>
        <w:t>适用范围</w:t>
      </w:r>
      <w:r>
        <w:rPr>
          <w:rFonts w:hint="eastAsia" w:ascii="宋体" w:hAnsi="宋体"/>
          <w:color w:val="000000"/>
          <w:sz w:val="24"/>
        </w:rPr>
        <w:t>、</w:t>
      </w:r>
      <w:r>
        <w:rPr>
          <w:rFonts w:ascii="宋体" w:hAnsi="宋体"/>
          <w:color w:val="000000"/>
          <w:sz w:val="24"/>
        </w:rPr>
        <w:t>外形尺寸</w:t>
      </w:r>
      <w:r>
        <w:rPr>
          <w:rFonts w:hint="eastAsia" w:ascii="宋体" w:hAnsi="宋体"/>
          <w:color w:val="000000"/>
          <w:sz w:val="24"/>
        </w:rPr>
        <w:t>、技术参数、性能参数、及配套装置的性能、技术参数；</w:t>
      </w:r>
    </w:p>
    <w:p>
      <w:pPr>
        <w:autoSpaceDE w:val="0"/>
        <w:autoSpaceDN w:val="0"/>
        <w:adjustRightInd w:val="0"/>
        <w:spacing w:line="360" w:lineRule="auto"/>
        <w:rPr>
          <w:rFonts w:ascii="宋体" w:cs="宋体"/>
          <w:sz w:val="24"/>
          <w:szCs w:val="24"/>
        </w:rPr>
      </w:pPr>
      <w:r>
        <w:rPr>
          <w:rFonts w:hint="eastAsia" w:ascii="宋体" w:hAnsi="宋体"/>
          <w:color w:val="000000"/>
          <w:sz w:val="24"/>
        </w:rPr>
        <w:t>c.质量保证、技术支持、售后服务等相关承诺；</w:t>
      </w:r>
    </w:p>
    <w:p>
      <w:pPr>
        <w:autoSpaceDE w:val="0"/>
        <w:autoSpaceDN w:val="0"/>
        <w:adjustRightInd w:val="0"/>
        <w:spacing w:line="360" w:lineRule="auto"/>
        <w:rPr>
          <w:rFonts w:ascii="宋体" w:hAnsi="宋体"/>
          <w:color w:val="000000"/>
          <w:sz w:val="24"/>
        </w:rPr>
      </w:pPr>
      <w:r>
        <w:rPr>
          <w:rFonts w:hint="eastAsia" w:ascii="宋体" w:hAnsi="宋体"/>
          <w:color w:val="000000"/>
          <w:sz w:val="24"/>
        </w:rPr>
        <w:t>d.企业营业执照（正、副本）、生产(经营)许可证、税务登记证、资质证书、《投标单位概况》、销售业绩清单、专利发明证书、质量体系认证证书等，我方对上述盖骑缝章复印件有疑问时投标单位需提供原件供核对；</w:t>
      </w:r>
    </w:p>
    <w:p>
      <w:pPr>
        <w:spacing w:line="360" w:lineRule="auto"/>
        <w:rPr>
          <w:rFonts w:ascii="宋体" w:hAnsi="宋体"/>
          <w:color w:val="000000"/>
          <w:sz w:val="24"/>
        </w:rPr>
      </w:pPr>
      <w:r>
        <w:rPr>
          <w:rFonts w:hint="eastAsia" w:ascii="宋体" w:hAnsi="宋体"/>
          <w:color w:val="000000"/>
          <w:sz w:val="24"/>
        </w:rPr>
        <w:t>e.</w:t>
      </w:r>
      <w:r>
        <w:rPr>
          <w:rFonts w:hint="eastAsia" w:ascii="宋体" w:hAnsi="宋体"/>
          <w:color w:val="000000"/>
          <w:spacing w:val="-12"/>
          <w:sz w:val="24"/>
        </w:rPr>
        <w:t>投标报价一览表、分项一览表（到货价格）、</w:t>
      </w:r>
      <w:r>
        <w:rPr>
          <w:rFonts w:hint="eastAsia" w:ascii="宋体" w:hAnsi="宋体"/>
          <w:color w:val="000000"/>
          <w:sz w:val="24"/>
        </w:rPr>
        <w:t>交货期。</w:t>
      </w:r>
    </w:p>
    <w:p>
      <w:pPr>
        <w:autoSpaceDE w:val="0"/>
        <w:autoSpaceDN w:val="0"/>
        <w:adjustRightInd w:val="0"/>
        <w:spacing w:line="360" w:lineRule="auto"/>
        <w:ind w:left="480" w:hanging="480" w:hangingChars="200"/>
        <w:rPr>
          <w:rFonts w:hint="eastAsia" w:ascii="宋体" w:cs="宋体"/>
          <w:sz w:val="24"/>
          <w:szCs w:val="24"/>
        </w:rPr>
      </w:pPr>
      <w:r>
        <w:rPr>
          <w:rFonts w:hint="eastAsia" w:ascii="宋体" w:cs="宋体"/>
          <w:sz w:val="24"/>
          <w:szCs w:val="24"/>
        </w:rPr>
        <w:t>f.报价方需将本用户需求书盖章后附在报价书内，以密封形式于北京时间</w:t>
      </w:r>
    </w:p>
    <w:p>
      <w:pPr>
        <w:autoSpaceDE w:val="0"/>
        <w:autoSpaceDN w:val="0"/>
        <w:adjustRightInd w:val="0"/>
        <w:spacing w:line="360" w:lineRule="auto"/>
        <w:ind w:left="480" w:hanging="480" w:hangingChars="200"/>
        <w:rPr>
          <w:rFonts w:ascii="宋体" w:cs="宋体"/>
          <w:sz w:val="24"/>
          <w:szCs w:val="24"/>
        </w:rPr>
      </w:pPr>
      <w:r>
        <w:rPr>
          <w:rFonts w:hint="eastAsia" w:ascii="宋体" w:cs="宋体"/>
          <w:sz w:val="24"/>
          <w:szCs w:val="24"/>
        </w:rPr>
        <w:t>202</w:t>
      </w:r>
      <w:r>
        <w:rPr>
          <w:rFonts w:hint="eastAsia" w:ascii="宋体" w:cs="宋体"/>
          <w:sz w:val="24"/>
          <w:szCs w:val="24"/>
          <w:lang w:val="en-US" w:eastAsia="zh-CN"/>
        </w:rPr>
        <w:t>4</w:t>
      </w:r>
      <w:r>
        <w:rPr>
          <w:rFonts w:hint="eastAsia" w:ascii="宋体" w:cs="宋体"/>
          <w:sz w:val="24"/>
          <w:szCs w:val="24"/>
        </w:rPr>
        <w:t xml:space="preserve">年 </w:t>
      </w:r>
      <w:r>
        <w:rPr>
          <w:rFonts w:hint="eastAsia" w:ascii="宋体" w:cs="宋体"/>
          <w:sz w:val="24"/>
          <w:szCs w:val="24"/>
          <w:lang w:val="en-US" w:eastAsia="zh-CN"/>
        </w:rPr>
        <w:t>6</w:t>
      </w:r>
      <w:r>
        <w:rPr>
          <w:rFonts w:hint="eastAsia" w:ascii="宋体" w:cs="宋体"/>
          <w:sz w:val="24"/>
          <w:szCs w:val="24"/>
        </w:rPr>
        <w:t xml:space="preserve"> 月 </w:t>
      </w:r>
      <w:r>
        <w:rPr>
          <w:rFonts w:hint="eastAsia" w:ascii="宋体" w:cs="宋体"/>
          <w:sz w:val="24"/>
          <w:szCs w:val="24"/>
          <w:lang w:val="en-US" w:eastAsia="zh-CN"/>
        </w:rPr>
        <w:t>5</w:t>
      </w:r>
      <w:r>
        <w:rPr>
          <w:rFonts w:hint="eastAsia" w:ascii="宋体" w:cs="宋体"/>
          <w:sz w:val="24"/>
          <w:szCs w:val="24"/>
        </w:rPr>
        <w:t xml:space="preserve">  日   下午十五时整前邮寄到我方。</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五 评标方法</w:t>
      </w:r>
    </w:p>
    <w:tbl>
      <w:tblPr>
        <w:tblStyle w:val="8"/>
        <w:tblW w:w="86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3130"/>
        <w:gridCol w:w="31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2390" w:type="dxa"/>
            <w:vAlign w:val="bottom"/>
          </w:tcPr>
          <w:p>
            <w:pPr>
              <w:jc w:val="center"/>
              <w:rPr>
                <w:rFonts w:ascii="宋体" w:hAnsi="宋体"/>
                <w:b/>
                <w:color w:val="000000"/>
                <w:sz w:val="24"/>
                <w:szCs w:val="24"/>
              </w:rPr>
            </w:pPr>
            <w:r>
              <w:rPr>
                <w:rFonts w:hint="eastAsia" w:ascii="宋体" w:hAnsi="宋体"/>
                <w:b/>
                <w:color w:val="000000"/>
                <w:sz w:val="24"/>
                <w:szCs w:val="24"/>
              </w:rPr>
              <w:t>项目</w:t>
            </w:r>
          </w:p>
        </w:tc>
        <w:tc>
          <w:tcPr>
            <w:tcW w:w="3130" w:type="dxa"/>
            <w:vAlign w:val="bottom"/>
          </w:tcPr>
          <w:p>
            <w:pPr>
              <w:jc w:val="center"/>
              <w:rPr>
                <w:rFonts w:ascii="宋体" w:hAnsi="宋体"/>
                <w:b/>
                <w:color w:val="000000"/>
                <w:sz w:val="24"/>
                <w:szCs w:val="24"/>
              </w:rPr>
            </w:pPr>
            <w:r>
              <w:rPr>
                <w:rFonts w:hint="eastAsia" w:ascii="宋体" w:hAnsi="宋体"/>
                <w:b/>
                <w:color w:val="000000"/>
                <w:sz w:val="24"/>
                <w:szCs w:val="24"/>
              </w:rPr>
              <w:t>项目权重</w:t>
            </w:r>
          </w:p>
        </w:tc>
        <w:tc>
          <w:tcPr>
            <w:tcW w:w="3112" w:type="dxa"/>
            <w:vAlign w:val="bottom"/>
          </w:tcPr>
          <w:p>
            <w:pPr>
              <w:jc w:val="center"/>
              <w:rPr>
                <w:rFonts w:ascii="宋体" w:hAnsi="宋体"/>
                <w:b/>
                <w:color w:val="000000"/>
                <w:sz w:val="24"/>
                <w:szCs w:val="24"/>
              </w:rPr>
            </w:pPr>
            <w:r>
              <w:rPr>
                <w:rFonts w:hint="eastAsia" w:ascii="宋体" w:hAnsi="宋体"/>
                <w:b/>
                <w:color w:val="000000"/>
                <w:sz w:val="24"/>
                <w:szCs w:val="24"/>
              </w:rPr>
              <w:t>评分原则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价格</w:t>
            </w:r>
          </w:p>
        </w:tc>
        <w:tc>
          <w:tcPr>
            <w:tcW w:w="3130" w:type="dxa"/>
            <w:vAlign w:val="bottom"/>
          </w:tcPr>
          <w:p>
            <w:pPr>
              <w:jc w:val="center"/>
              <w:textAlignment w:val="baseline"/>
              <w:rPr>
                <w:rFonts w:ascii="宋体" w:cs="宋体"/>
                <w:sz w:val="24"/>
                <w:szCs w:val="24"/>
              </w:rPr>
            </w:pPr>
            <w:r>
              <w:rPr>
                <w:rFonts w:hint="eastAsia" w:ascii="宋体" w:cs="宋体"/>
                <w:sz w:val="24"/>
                <w:szCs w:val="24"/>
                <w:lang w:val="en-US" w:eastAsia="zh-CN"/>
              </w:rPr>
              <w:t>5</w:t>
            </w:r>
            <w:r>
              <w:rPr>
                <w:rFonts w:hint="eastAsia" w:ascii="宋体" w:cs="宋体"/>
                <w:sz w:val="24"/>
                <w:szCs w:val="24"/>
              </w:rPr>
              <w:t>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交货期</w:t>
            </w:r>
          </w:p>
        </w:tc>
        <w:tc>
          <w:tcPr>
            <w:tcW w:w="3130" w:type="dxa"/>
            <w:vAlign w:val="bottom"/>
          </w:tcPr>
          <w:p>
            <w:pPr>
              <w:jc w:val="center"/>
              <w:textAlignment w:val="baseline"/>
              <w:rPr>
                <w:rFonts w:ascii="宋体" w:cs="宋体"/>
                <w:sz w:val="24"/>
                <w:szCs w:val="24"/>
              </w:rPr>
            </w:pPr>
            <w:r>
              <w:rPr>
                <w:rFonts w:hint="eastAsia" w:ascii="宋体" w:cs="宋体"/>
                <w:sz w:val="24"/>
                <w:szCs w:val="24"/>
              </w:rPr>
              <w:t>5%</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质量及性能</w:t>
            </w:r>
          </w:p>
        </w:tc>
        <w:tc>
          <w:tcPr>
            <w:tcW w:w="3130" w:type="dxa"/>
            <w:vAlign w:val="bottom"/>
          </w:tcPr>
          <w:p>
            <w:pPr>
              <w:jc w:val="center"/>
              <w:textAlignment w:val="baseline"/>
              <w:rPr>
                <w:rFonts w:ascii="宋体" w:cs="宋体"/>
                <w:sz w:val="24"/>
                <w:szCs w:val="24"/>
              </w:rPr>
            </w:pPr>
            <w:r>
              <w:rPr>
                <w:rFonts w:hint="eastAsia" w:ascii="宋体" w:cs="宋体"/>
                <w:sz w:val="24"/>
                <w:szCs w:val="24"/>
                <w:lang w:val="en-US" w:eastAsia="zh-CN"/>
              </w:rPr>
              <w:t>30</w:t>
            </w:r>
            <w:r>
              <w:rPr>
                <w:rFonts w:hint="eastAsia" w:ascii="宋体" w:cs="宋体"/>
                <w:sz w:val="24"/>
                <w:szCs w:val="24"/>
              </w:rPr>
              <w:t>%</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业绩和经验</w:t>
            </w:r>
          </w:p>
        </w:tc>
        <w:tc>
          <w:tcPr>
            <w:tcW w:w="3130" w:type="dxa"/>
            <w:vAlign w:val="bottom"/>
          </w:tcPr>
          <w:p>
            <w:pPr>
              <w:jc w:val="center"/>
              <w:textAlignment w:val="baseline"/>
              <w:rPr>
                <w:rFonts w:ascii="宋体" w:cs="宋体"/>
                <w:sz w:val="24"/>
                <w:szCs w:val="24"/>
              </w:rPr>
            </w:pPr>
            <w:r>
              <w:rPr>
                <w:rFonts w:hint="eastAsia" w:ascii="宋体" w:cs="宋体"/>
                <w:sz w:val="24"/>
                <w:szCs w:val="24"/>
              </w:rPr>
              <w:t>5%</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售后服务</w:t>
            </w:r>
          </w:p>
        </w:tc>
        <w:tc>
          <w:tcPr>
            <w:tcW w:w="3130" w:type="dxa"/>
            <w:vAlign w:val="bottom"/>
          </w:tcPr>
          <w:p>
            <w:pPr>
              <w:jc w:val="center"/>
              <w:textAlignment w:val="baseline"/>
              <w:rPr>
                <w:rFonts w:ascii="宋体" w:cs="宋体"/>
                <w:sz w:val="24"/>
                <w:szCs w:val="24"/>
              </w:rPr>
            </w:pPr>
            <w:r>
              <w:rPr>
                <w:rFonts w:hint="eastAsia" w:ascii="宋体" w:cs="宋体"/>
                <w:sz w:val="24"/>
                <w:szCs w:val="24"/>
              </w:rPr>
              <w:t>10%</w:t>
            </w:r>
          </w:p>
        </w:tc>
        <w:tc>
          <w:tcPr>
            <w:tcW w:w="3112" w:type="dxa"/>
            <w:vAlign w:val="bottom"/>
          </w:tcPr>
          <w:p>
            <w:pPr>
              <w:jc w:val="center"/>
              <w:textAlignment w:val="baseline"/>
              <w:rPr>
                <w:rFonts w:ascii="宋体" w:hAnsi="宋体"/>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390" w:type="dxa"/>
            <w:vAlign w:val="center"/>
          </w:tcPr>
          <w:p>
            <w:pPr>
              <w:jc w:val="center"/>
              <w:textAlignment w:val="baseline"/>
              <w:rPr>
                <w:rFonts w:ascii="宋体" w:cs="宋体"/>
                <w:sz w:val="24"/>
                <w:szCs w:val="24"/>
              </w:rPr>
            </w:pPr>
            <w:r>
              <w:rPr>
                <w:rFonts w:hint="eastAsia" w:ascii="宋体" w:cs="宋体"/>
                <w:sz w:val="24"/>
                <w:szCs w:val="24"/>
              </w:rPr>
              <w:t>总则</w:t>
            </w:r>
          </w:p>
        </w:tc>
        <w:tc>
          <w:tcPr>
            <w:tcW w:w="6242" w:type="dxa"/>
            <w:gridSpan w:val="2"/>
            <w:vAlign w:val="center"/>
          </w:tcPr>
          <w:p>
            <w:pPr>
              <w:jc w:val="center"/>
              <w:textAlignment w:val="baseline"/>
              <w:rPr>
                <w:rFonts w:ascii="宋体" w:cs="宋体"/>
                <w:sz w:val="24"/>
                <w:szCs w:val="24"/>
              </w:rPr>
            </w:pPr>
            <w:r>
              <w:rPr>
                <w:rFonts w:hint="eastAsia" w:ascii="宋体" w:cs="宋体"/>
                <w:sz w:val="24"/>
                <w:szCs w:val="24"/>
              </w:rPr>
              <w:t>招标方可根据实际情况对评标原则进行更改</w:t>
            </w:r>
          </w:p>
        </w:tc>
      </w:tr>
    </w:tbl>
    <w:p>
      <w:pPr>
        <w:pStyle w:val="16"/>
        <w:widowControl w:val="0"/>
        <w:spacing w:line="20" w:lineRule="atLeast"/>
        <w:ind w:firstLine="482"/>
        <w:rPr>
          <w:b/>
          <w:color w:val="000000"/>
          <w:u w:val="single"/>
        </w:rPr>
      </w:pPr>
      <w:r>
        <w:rPr>
          <w:rFonts w:hint="eastAsia"/>
          <w:b/>
          <w:color w:val="000000"/>
          <w:u w:val="single"/>
        </w:rPr>
        <w:t>在价格优先基础上，对交货期、质量及性能、业绩和经验、服务等进行综合考虑。</w:t>
      </w:r>
      <w:bookmarkEnd w:id="2"/>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240"/>
        <w:tab w:val="clear" w:pos="8306"/>
      </w:tabs>
      <w:jc w:val="center"/>
      <w:rPr>
        <w:rFonts w:ascii="Arial" w:hAnsi="Arial" w:cs="Arial"/>
      </w:rPr>
    </w:pPr>
    <w:r>
      <w:rPr>
        <w:rFonts w:ascii="Arial" w:hAnsi="Arial" w:cs="Arial"/>
      </w:rPr>
      <w:tab/>
    </w:r>
    <w:r>
      <w:rPr>
        <w:rFonts w:ascii="Arial" w:hAnsi="Arial" w:cs="Arial"/>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E5C36"/>
    <w:multiLevelType w:val="multilevel"/>
    <w:tmpl w:val="490E5C36"/>
    <w:lvl w:ilvl="0" w:tentative="0">
      <w:start w:val="1"/>
      <w:numFmt w:val="decimal"/>
      <w:lvlText w:val="URS%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9F3E87"/>
    <w:multiLevelType w:val="multilevel"/>
    <w:tmpl w:val="6D9F3E87"/>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2MDZlODJmN2M0NTU2NjFiMGZmNmQyMDRiNDliMjEifQ=="/>
  </w:docVars>
  <w:rsids>
    <w:rsidRoot w:val="00B44FC8"/>
    <w:rsid w:val="00003EA3"/>
    <w:rsid w:val="00004270"/>
    <w:rsid w:val="000052BE"/>
    <w:rsid w:val="00006E1D"/>
    <w:rsid w:val="000073E4"/>
    <w:rsid w:val="00007D31"/>
    <w:rsid w:val="00007FDF"/>
    <w:rsid w:val="00015721"/>
    <w:rsid w:val="000173F8"/>
    <w:rsid w:val="00017F3D"/>
    <w:rsid w:val="00020572"/>
    <w:rsid w:val="00021544"/>
    <w:rsid w:val="00021607"/>
    <w:rsid w:val="00021A69"/>
    <w:rsid w:val="000277D7"/>
    <w:rsid w:val="00030A22"/>
    <w:rsid w:val="00030FE9"/>
    <w:rsid w:val="000315E7"/>
    <w:rsid w:val="000319C6"/>
    <w:rsid w:val="00035778"/>
    <w:rsid w:val="000363D2"/>
    <w:rsid w:val="00040057"/>
    <w:rsid w:val="000404DB"/>
    <w:rsid w:val="0004154E"/>
    <w:rsid w:val="0004281B"/>
    <w:rsid w:val="00043C5A"/>
    <w:rsid w:val="000456CA"/>
    <w:rsid w:val="00045968"/>
    <w:rsid w:val="00046022"/>
    <w:rsid w:val="00046753"/>
    <w:rsid w:val="000474B6"/>
    <w:rsid w:val="000477B2"/>
    <w:rsid w:val="00051204"/>
    <w:rsid w:val="00053316"/>
    <w:rsid w:val="00056705"/>
    <w:rsid w:val="000602EA"/>
    <w:rsid w:val="00060501"/>
    <w:rsid w:val="00060892"/>
    <w:rsid w:val="00062961"/>
    <w:rsid w:val="00062AB3"/>
    <w:rsid w:val="00062E3A"/>
    <w:rsid w:val="0006392A"/>
    <w:rsid w:val="00064E42"/>
    <w:rsid w:val="000651F5"/>
    <w:rsid w:val="00065AEA"/>
    <w:rsid w:val="000702A7"/>
    <w:rsid w:val="0007061C"/>
    <w:rsid w:val="0007344B"/>
    <w:rsid w:val="0007416B"/>
    <w:rsid w:val="00075A98"/>
    <w:rsid w:val="00077D27"/>
    <w:rsid w:val="00083EB7"/>
    <w:rsid w:val="00086567"/>
    <w:rsid w:val="000A128C"/>
    <w:rsid w:val="000A1DF6"/>
    <w:rsid w:val="000A40B6"/>
    <w:rsid w:val="000A4344"/>
    <w:rsid w:val="000A7260"/>
    <w:rsid w:val="000A77A5"/>
    <w:rsid w:val="000A7F4A"/>
    <w:rsid w:val="000B05AC"/>
    <w:rsid w:val="000B16D7"/>
    <w:rsid w:val="000B181D"/>
    <w:rsid w:val="000B2CE1"/>
    <w:rsid w:val="000B2D03"/>
    <w:rsid w:val="000B3C3B"/>
    <w:rsid w:val="000B3DA6"/>
    <w:rsid w:val="000B415F"/>
    <w:rsid w:val="000B4739"/>
    <w:rsid w:val="000B4BDB"/>
    <w:rsid w:val="000B63B3"/>
    <w:rsid w:val="000C11A1"/>
    <w:rsid w:val="000C2C8B"/>
    <w:rsid w:val="000C3BB9"/>
    <w:rsid w:val="000C508C"/>
    <w:rsid w:val="000C53EA"/>
    <w:rsid w:val="000C7FCE"/>
    <w:rsid w:val="000D0699"/>
    <w:rsid w:val="000D2289"/>
    <w:rsid w:val="000D2656"/>
    <w:rsid w:val="000D34FC"/>
    <w:rsid w:val="000D653B"/>
    <w:rsid w:val="000D65BB"/>
    <w:rsid w:val="000E1168"/>
    <w:rsid w:val="000E5375"/>
    <w:rsid w:val="000E5DF5"/>
    <w:rsid w:val="000E718F"/>
    <w:rsid w:val="000E7243"/>
    <w:rsid w:val="000F2306"/>
    <w:rsid w:val="000F30F8"/>
    <w:rsid w:val="000F34A9"/>
    <w:rsid w:val="000F367C"/>
    <w:rsid w:val="000F5A6E"/>
    <w:rsid w:val="000F75AA"/>
    <w:rsid w:val="0010255A"/>
    <w:rsid w:val="00102849"/>
    <w:rsid w:val="00102903"/>
    <w:rsid w:val="001047B0"/>
    <w:rsid w:val="0010613B"/>
    <w:rsid w:val="00107061"/>
    <w:rsid w:val="00107B56"/>
    <w:rsid w:val="00110B4B"/>
    <w:rsid w:val="001120D8"/>
    <w:rsid w:val="00112689"/>
    <w:rsid w:val="00113146"/>
    <w:rsid w:val="001157F5"/>
    <w:rsid w:val="00120208"/>
    <w:rsid w:val="00120678"/>
    <w:rsid w:val="001216A7"/>
    <w:rsid w:val="001220FF"/>
    <w:rsid w:val="00125E35"/>
    <w:rsid w:val="00130658"/>
    <w:rsid w:val="00130ABE"/>
    <w:rsid w:val="00132939"/>
    <w:rsid w:val="0013754A"/>
    <w:rsid w:val="001408B6"/>
    <w:rsid w:val="00140DFE"/>
    <w:rsid w:val="001433FD"/>
    <w:rsid w:val="00152CD0"/>
    <w:rsid w:val="00162285"/>
    <w:rsid w:val="00162818"/>
    <w:rsid w:val="00163282"/>
    <w:rsid w:val="00164336"/>
    <w:rsid w:val="00167B9E"/>
    <w:rsid w:val="001705B5"/>
    <w:rsid w:val="001709F7"/>
    <w:rsid w:val="00174686"/>
    <w:rsid w:val="0017509E"/>
    <w:rsid w:val="001754CD"/>
    <w:rsid w:val="001767E2"/>
    <w:rsid w:val="001775D0"/>
    <w:rsid w:val="00182FDB"/>
    <w:rsid w:val="00183872"/>
    <w:rsid w:val="00184085"/>
    <w:rsid w:val="00184B41"/>
    <w:rsid w:val="00187014"/>
    <w:rsid w:val="001877AB"/>
    <w:rsid w:val="00187C95"/>
    <w:rsid w:val="00190283"/>
    <w:rsid w:val="0019028E"/>
    <w:rsid w:val="00190D90"/>
    <w:rsid w:val="00191EF5"/>
    <w:rsid w:val="001A048D"/>
    <w:rsid w:val="001A1A9D"/>
    <w:rsid w:val="001A32F0"/>
    <w:rsid w:val="001A7632"/>
    <w:rsid w:val="001B120F"/>
    <w:rsid w:val="001B1FE0"/>
    <w:rsid w:val="001B308B"/>
    <w:rsid w:val="001B3126"/>
    <w:rsid w:val="001B3D15"/>
    <w:rsid w:val="001B5221"/>
    <w:rsid w:val="001B579A"/>
    <w:rsid w:val="001B5C31"/>
    <w:rsid w:val="001B6625"/>
    <w:rsid w:val="001B7ED4"/>
    <w:rsid w:val="001C11DD"/>
    <w:rsid w:val="001C1995"/>
    <w:rsid w:val="001C273B"/>
    <w:rsid w:val="001C365D"/>
    <w:rsid w:val="001C5B87"/>
    <w:rsid w:val="001C6EB2"/>
    <w:rsid w:val="001C70F4"/>
    <w:rsid w:val="001C7BC2"/>
    <w:rsid w:val="001C7C4B"/>
    <w:rsid w:val="001D057D"/>
    <w:rsid w:val="001D1EA1"/>
    <w:rsid w:val="001D3F0F"/>
    <w:rsid w:val="001D663C"/>
    <w:rsid w:val="001D74A3"/>
    <w:rsid w:val="001E109E"/>
    <w:rsid w:val="001E2C9B"/>
    <w:rsid w:val="001E45B2"/>
    <w:rsid w:val="001E5647"/>
    <w:rsid w:val="001E60B1"/>
    <w:rsid w:val="001E6F59"/>
    <w:rsid w:val="001E726F"/>
    <w:rsid w:val="001F02BB"/>
    <w:rsid w:val="001F1064"/>
    <w:rsid w:val="001F324E"/>
    <w:rsid w:val="001F357E"/>
    <w:rsid w:val="001F61FA"/>
    <w:rsid w:val="001F7B3F"/>
    <w:rsid w:val="00201F90"/>
    <w:rsid w:val="0020282D"/>
    <w:rsid w:val="0020430E"/>
    <w:rsid w:val="002045B4"/>
    <w:rsid w:val="00204800"/>
    <w:rsid w:val="00212930"/>
    <w:rsid w:val="00213BD9"/>
    <w:rsid w:val="00213D6C"/>
    <w:rsid w:val="00220568"/>
    <w:rsid w:val="002206CC"/>
    <w:rsid w:val="00220F55"/>
    <w:rsid w:val="00221A70"/>
    <w:rsid w:val="00223651"/>
    <w:rsid w:val="002251A8"/>
    <w:rsid w:val="00225758"/>
    <w:rsid w:val="00227F5E"/>
    <w:rsid w:val="002300E2"/>
    <w:rsid w:val="00230F4F"/>
    <w:rsid w:val="00241BFB"/>
    <w:rsid w:val="0024269E"/>
    <w:rsid w:val="00243539"/>
    <w:rsid w:val="0025644B"/>
    <w:rsid w:val="00256A23"/>
    <w:rsid w:val="00257886"/>
    <w:rsid w:val="00260A06"/>
    <w:rsid w:val="00262577"/>
    <w:rsid w:val="0026520F"/>
    <w:rsid w:val="002700BD"/>
    <w:rsid w:val="00271E27"/>
    <w:rsid w:val="00273D85"/>
    <w:rsid w:val="002775DA"/>
    <w:rsid w:val="00280AEB"/>
    <w:rsid w:val="00281C59"/>
    <w:rsid w:val="00281C6F"/>
    <w:rsid w:val="00282F3C"/>
    <w:rsid w:val="002856CB"/>
    <w:rsid w:val="00285BDA"/>
    <w:rsid w:val="00293A74"/>
    <w:rsid w:val="0029507E"/>
    <w:rsid w:val="0029703C"/>
    <w:rsid w:val="002A03CE"/>
    <w:rsid w:val="002A085B"/>
    <w:rsid w:val="002A19B4"/>
    <w:rsid w:val="002A4458"/>
    <w:rsid w:val="002A445E"/>
    <w:rsid w:val="002A5B03"/>
    <w:rsid w:val="002A6190"/>
    <w:rsid w:val="002A7548"/>
    <w:rsid w:val="002B06AF"/>
    <w:rsid w:val="002B0706"/>
    <w:rsid w:val="002B57E5"/>
    <w:rsid w:val="002B723B"/>
    <w:rsid w:val="002C312F"/>
    <w:rsid w:val="002C4BB6"/>
    <w:rsid w:val="002C7163"/>
    <w:rsid w:val="002D108D"/>
    <w:rsid w:val="002D60BD"/>
    <w:rsid w:val="002D6617"/>
    <w:rsid w:val="002E1AA3"/>
    <w:rsid w:val="002E2A25"/>
    <w:rsid w:val="002E2C08"/>
    <w:rsid w:val="002F0458"/>
    <w:rsid w:val="002F1532"/>
    <w:rsid w:val="002F2ABD"/>
    <w:rsid w:val="002F2BE4"/>
    <w:rsid w:val="002F5997"/>
    <w:rsid w:val="003005C0"/>
    <w:rsid w:val="00302086"/>
    <w:rsid w:val="003076DA"/>
    <w:rsid w:val="00307D01"/>
    <w:rsid w:val="00310642"/>
    <w:rsid w:val="0031365F"/>
    <w:rsid w:val="003169A3"/>
    <w:rsid w:val="0032024A"/>
    <w:rsid w:val="003211F5"/>
    <w:rsid w:val="00322322"/>
    <w:rsid w:val="00324FFB"/>
    <w:rsid w:val="003254BA"/>
    <w:rsid w:val="00326636"/>
    <w:rsid w:val="00326BC7"/>
    <w:rsid w:val="00330BF6"/>
    <w:rsid w:val="003315F7"/>
    <w:rsid w:val="00331666"/>
    <w:rsid w:val="00331ED5"/>
    <w:rsid w:val="003345E7"/>
    <w:rsid w:val="003347AB"/>
    <w:rsid w:val="00335640"/>
    <w:rsid w:val="003419F4"/>
    <w:rsid w:val="00343200"/>
    <w:rsid w:val="00343A7C"/>
    <w:rsid w:val="00344056"/>
    <w:rsid w:val="0034705D"/>
    <w:rsid w:val="003473F5"/>
    <w:rsid w:val="00350970"/>
    <w:rsid w:val="00357C10"/>
    <w:rsid w:val="0036476B"/>
    <w:rsid w:val="003652DA"/>
    <w:rsid w:val="003700E7"/>
    <w:rsid w:val="003706BB"/>
    <w:rsid w:val="00372885"/>
    <w:rsid w:val="003734D2"/>
    <w:rsid w:val="003743D4"/>
    <w:rsid w:val="00374C2C"/>
    <w:rsid w:val="00375E83"/>
    <w:rsid w:val="00380509"/>
    <w:rsid w:val="0038147E"/>
    <w:rsid w:val="003829C2"/>
    <w:rsid w:val="003832E3"/>
    <w:rsid w:val="00385BA9"/>
    <w:rsid w:val="003874CE"/>
    <w:rsid w:val="00387BD0"/>
    <w:rsid w:val="00394290"/>
    <w:rsid w:val="003946A5"/>
    <w:rsid w:val="00395C79"/>
    <w:rsid w:val="00396184"/>
    <w:rsid w:val="003A0399"/>
    <w:rsid w:val="003A134D"/>
    <w:rsid w:val="003A1554"/>
    <w:rsid w:val="003A16EA"/>
    <w:rsid w:val="003A256C"/>
    <w:rsid w:val="003A42F8"/>
    <w:rsid w:val="003A4CC3"/>
    <w:rsid w:val="003A5EAF"/>
    <w:rsid w:val="003A7318"/>
    <w:rsid w:val="003B0AE3"/>
    <w:rsid w:val="003B1107"/>
    <w:rsid w:val="003B6A63"/>
    <w:rsid w:val="003B7203"/>
    <w:rsid w:val="003C24A5"/>
    <w:rsid w:val="003D0466"/>
    <w:rsid w:val="003D0E38"/>
    <w:rsid w:val="003D2A7F"/>
    <w:rsid w:val="003D37BE"/>
    <w:rsid w:val="003D42D7"/>
    <w:rsid w:val="003D43E8"/>
    <w:rsid w:val="003D5F03"/>
    <w:rsid w:val="003E1561"/>
    <w:rsid w:val="003E1D8D"/>
    <w:rsid w:val="003E28D6"/>
    <w:rsid w:val="003E6184"/>
    <w:rsid w:val="003F0523"/>
    <w:rsid w:val="003F1E00"/>
    <w:rsid w:val="003F2E58"/>
    <w:rsid w:val="003F3633"/>
    <w:rsid w:val="003F45E8"/>
    <w:rsid w:val="003F620A"/>
    <w:rsid w:val="003F65FA"/>
    <w:rsid w:val="003F7A88"/>
    <w:rsid w:val="0040080A"/>
    <w:rsid w:val="00404129"/>
    <w:rsid w:val="00405E37"/>
    <w:rsid w:val="004079ED"/>
    <w:rsid w:val="00407E96"/>
    <w:rsid w:val="004108BB"/>
    <w:rsid w:val="004119B6"/>
    <w:rsid w:val="00411AAE"/>
    <w:rsid w:val="0041229C"/>
    <w:rsid w:val="00415D25"/>
    <w:rsid w:val="004214C5"/>
    <w:rsid w:val="00424EB2"/>
    <w:rsid w:val="00425159"/>
    <w:rsid w:val="00431417"/>
    <w:rsid w:val="00431A72"/>
    <w:rsid w:val="00431F7D"/>
    <w:rsid w:val="00434536"/>
    <w:rsid w:val="004351A4"/>
    <w:rsid w:val="00435A33"/>
    <w:rsid w:val="00437493"/>
    <w:rsid w:val="00441FAA"/>
    <w:rsid w:val="004438EA"/>
    <w:rsid w:val="00443C66"/>
    <w:rsid w:val="00444333"/>
    <w:rsid w:val="004444DA"/>
    <w:rsid w:val="00444DD6"/>
    <w:rsid w:val="00451804"/>
    <w:rsid w:val="004523D7"/>
    <w:rsid w:val="00452D74"/>
    <w:rsid w:val="004543B2"/>
    <w:rsid w:val="0045500A"/>
    <w:rsid w:val="004557D0"/>
    <w:rsid w:val="004570B2"/>
    <w:rsid w:val="004574F6"/>
    <w:rsid w:val="004614B8"/>
    <w:rsid w:val="00463EAC"/>
    <w:rsid w:val="004649DA"/>
    <w:rsid w:val="00465B5F"/>
    <w:rsid w:val="004701CD"/>
    <w:rsid w:val="004711A6"/>
    <w:rsid w:val="00471772"/>
    <w:rsid w:val="00473A0F"/>
    <w:rsid w:val="00474536"/>
    <w:rsid w:val="00482279"/>
    <w:rsid w:val="0048252F"/>
    <w:rsid w:val="004827DF"/>
    <w:rsid w:val="00484F4B"/>
    <w:rsid w:val="0048519C"/>
    <w:rsid w:val="00485C52"/>
    <w:rsid w:val="004903BD"/>
    <w:rsid w:val="00490A8E"/>
    <w:rsid w:val="00493503"/>
    <w:rsid w:val="004A00F1"/>
    <w:rsid w:val="004A0241"/>
    <w:rsid w:val="004A04C0"/>
    <w:rsid w:val="004A1CE1"/>
    <w:rsid w:val="004A3656"/>
    <w:rsid w:val="004A402E"/>
    <w:rsid w:val="004A47CD"/>
    <w:rsid w:val="004A4CD0"/>
    <w:rsid w:val="004A6F30"/>
    <w:rsid w:val="004A7753"/>
    <w:rsid w:val="004B0DA2"/>
    <w:rsid w:val="004B2355"/>
    <w:rsid w:val="004B2FDE"/>
    <w:rsid w:val="004B4D26"/>
    <w:rsid w:val="004B55BC"/>
    <w:rsid w:val="004B60B7"/>
    <w:rsid w:val="004B6D93"/>
    <w:rsid w:val="004B788B"/>
    <w:rsid w:val="004C15E1"/>
    <w:rsid w:val="004C6620"/>
    <w:rsid w:val="004C7E52"/>
    <w:rsid w:val="004D1DFE"/>
    <w:rsid w:val="004D2273"/>
    <w:rsid w:val="004D2598"/>
    <w:rsid w:val="004D3FDB"/>
    <w:rsid w:val="004D401A"/>
    <w:rsid w:val="004D57F4"/>
    <w:rsid w:val="004D6666"/>
    <w:rsid w:val="004E05D0"/>
    <w:rsid w:val="004E2E53"/>
    <w:rsid w:val="004E7A93"/>
    <w:rsid w:val="004F0F98"/>
    <w:rsid w:val="004F1424"/>
    <w:rsid w:val="004F19F7"/>
    <w:rsid w:val="004F63D6"/>
    <w:rsid w:val="004F6E8C"/>
    <w:rsid w:val="005031DE"/>
    <w:rsid w:val="0050332A"/>
    <w:rsid w:val="005048E9"/>
    <w:rsid w:val="00504BD0"/>
    <w:rsid w:val="005055DD"/>
    <w:rsid w:val="00505F09"/>
    <w:rsid w:val="00510451"/>
    <w:rsid w:val="00512208"/>
    <w:rsid w:val="00513597"/>
    <w:rsid w:val="005155FE"/>
    <w:rsid w:val="0051646F"/>
    <w:rsid w:val="005167D2"/>
    <w:rsid w:val="00516E2B"/>
    <w:rsid w:val="00524553"/>
    <w:rsid w:val="00527B08"/>
    <w:rsid w:val="00530F39"/>
    <w:rsid w:val="00533D0C"/>
    <w:rsid w:val="00540028"/>
    <w:rsid w:val="00540D30"/>
    <w:rsid w:val="00542467"/>
    <w:rsid w:val="00544395"/>
    <w:rsid w:val="00546FAC"/>
    <w:rsid w:val="0054796A"/>
    <w:rsid w:val="00547D7B"/>
    <w:rsid w:val="0055358A"/>
    <w:rsid w:val="005559F6"/>
    <w:rsid w:val="00556656"/>
    <w:rsid w:val="00556C2D"/>
    <w:rsid w:val="005618D6"/>
    <w:rsid w:val="00564202"/>
    <w:rsid w:val="005672B3"/>
    <w:rsid w:val="00567B99"/>
    <w:rsid w:val="0057013E"/>
    <w:rsid w:val="00570B48"/>
    <w:rsid w:val="00572A29"/>
    <w:rsid w:val="005736D2"/>
    <w:rsid w:val="00573A67"/>
    <w:rsid w:val="005747DD"/>
    <w:rsid w:val="005751D4"/>
    <w:rsid w:val="0057520A"/>
    <w:rsid w:val="0057601A"/>
    <w:rsid w:val="00576114"/>
    <w:rsid w:val="005772E2"/>
    <w:rsid w:val="00577FAF"/>
    <w:rsid w:val="00581AC8"/>
    <w:rsid w:val="00581AEE"/>
    <w:rsid w:val="0058225A"/>
    <w:rsid w:val="00582DA8"/>
    <w:rsid w:val="00585F4E"/>
    <w:rsid w:val="00586F51"/>
    <w:rsid w:val="00587B61"/>
    <w:rsid w:val="00592D77"/>
    <w:rsid w:val="005931CA"/>
    <w:rsid w:val="00596E5E"/>
    <w:rsid w:val="005A3EE3"/>
    <w:rsid w:val="005A4FA6"/>
    <w:rsid w:val="005A603B"/>
    <w:rsid w:val="005C027E"/>
    <w:rsid w:val="005C08F0"/>
    <w:rsid w:val="005C0E81"/>
    <w:rsid w:val="005C1135"/>
    <w:rsid w:val="005C4E63"/>
    <w:rsid w:val="005C6CC9"/>
    <w:rsid w:val="005C6DF5"/>
    <w:rsid w:val="005D02FD"/>
    <w:rsid w:val="005D2219"/>
    <w:rsid w:val="005D492C"/>
    <w:rsid w:val="005D55F4"/>
    <w:rsid w:val="005D606D"/>
    <w:rsid w:val="005D6341"/>
    <w:rsid w:val="005D6CE6"/>
    <w:rsid w:val="005D7BF6"/>
    <w:rsid w:val="005E2503"/>
    <w:rsid w:val="005E4698"/>
    <w:rsid w:val="005F0AB2"/>
    <w:rsid w:val="005F0BD4"/>
    <w:rsid w:val="005F5895"/>
    <w:rsid w:val="005F7036"/>
    <w:rsid w:val="005F778A"/>
    <w:rsid w:val="00600887"/>
    <w:rsid w:val="00601ED4"/>
    <w:rsid w:val="006022CD"/>
    <w:rsid w:val="006053BF"/>
    <w:rsid w:val="006072D9"/>
    <w:rsid w:val="0060734B"/>
    <w:rsid w:val="006115FC"/>
    <w:rsid w:val="00612493"/>
    <w:rsid w:val="00612E56"/>
    <w:rsid w:val="00613988"/>
    <w:rsid w:val="00613D0D"/>
    <w:rsid w:val="00614C7C"/>
    <w:rsid w:val="00617EE3"/>
    <w:rsid w:val="0062016E"/>
    <w:rsid w:val="00625CD9"/>
    <w:rsid w:val="00631FBD"/>
    <w:rsid w:val="006345E5"/>
    <w:rsid w:val="006405B7"/>
    <w:rsid w:val="00642949"/>
    <w:rsid w:val="00644A90"/>
    <w:rsid w:val="00646075"/>
    <w:rsid w:val="0064683D"/>
    <w:rsid w:val="00646E64"/>
    <w:rsid w:val="00647360"/>
    <w:rsid w:val="00651356"/>
    <w:rsid w:val="006516B2"/>
    <w:rsid w:val="00652A70"/>
    <w:rsid w:val="00652E7F"/>
    <w:rsid w:val="006546E8"/>
    <w:rsid w:val="00654CF2"/>
    <w:rsid w:val="006553A3"/>
    <w:rsid w:val="00655942"/>
    <w:rsid w:val="00657AFB"/>
    <w:rsid w:val="00657BEE"/>
    <w:rsid w:val="0066260B"/>
    <w:rsid w:val="006637FA"/>
    <w:rsid w:val="0066535D"/>
    <w:rsid w:val="00665D6A"/>
    <w:rsid w:val="006665F1"/>
    <w:rsid w:val="0067119C"/>
    <w:rsid w:val="006713C0"/>
    <w:rsid w:val="0067266E"/>
    <w:rsid w:val="00676A8D"/>
    <w:rsid w:val="006829FE"/>
    <w:rsid w:val="00684A53"/>
    <w:rsid w:val="00684C45"/>
    <w:rsid w:val="006858EF"/>
    <w:rsid w:val="0068590B"/>
    <w:rsid w:val="00690B15"/>
    <w:rsid w:val="0069250A"/>
    <w:rsid w:val="0069451A"/>
    <w:rsid w:val="00695767"/>
    <w:rsid w:val="00695A98"/>
    <w:rsid w:val="00695B5D"/>
    <w:rsid w:val="006968B8"/>
    <w:rsid w:val="006A0CE7"/>
    <w:rsid w:val="006A454A"/>
    <w:rsid w:val="006A505B"/>
    <w:rsid w:val="006A5237"/>
    <w:rsid w:val="006A62D6"/>
    <w:rsid w:val="006A711C"/>
    <w:rsid w:val="006B4CDB"/>
    <w:rsid w:val="006B5F5E"/>
    <w:rsid w:val="006B6116"/>
    <w:rsid w:val="006B6AD1"/>
    <w:rsid w:val="006B6E0E"/>
    <w:rsid w:val="006B7603"/>
    <w:rsid w:val="006B76E7"/>
    <w:rsid w:val="006B78C7"/>
    <w:rsid w:val="006C017A"/>
    <w:rsid w:val="006C0A36"/>
    <w:rsid w:val="006C1CE4"/>
    <w:rsid w:val="006C66D4"/>
    <w:rsid w:val="006C68A5"/>
    <w:rsid w:val="006D1108"/>
    <w:rsid w:val="006D1AF5"/>
    <w:rsid w:val="006D52F5"/>
    <w:rsid w:val="006D6162"/>
    <w:rsid w:val="006D7C71"/>
    <w:rsid w:val="006E10F6"/>
    <w:rsid w:val="006E1BB0"/>
    <w:rsid w:val="006E2846"/>
    <w:rsid w:val="006E402C"/>
    <w:rsid w:val="006E4A49"/>
    <w:rsid w:val="006E7CE9"/>
    <w:rsid w:val="006F0382"/>
    <w:rsid w:val="006F111E"/>
    <w:rsid w:val="006F1476"/>
    <w:rsid w:val="006F67E4"/>
    <w:rsid w:val="006F705B"/>
    <w:rsid w:val="00702178"/>
    <w:rsid w:val="00702E5B"/>
    <w:rsid w:val="00703A66"/>
    <w:rsid w:val="0070400F"/>
    <w:rsid w:val="007066E6"/>
    <w:rsid w:val="00707669"/>
    <w:rsid w:val="00707A23"/>
    <w:rsid w:val="007140BB"/>
    <w:rsid w:val="00720176"/>
    <w:rsid w:val="0072096F"/>
    <w:rsid w:val="0072436F"/>
    <w:rsid w:val="0072482A"/>
    <w:rsid w:val="00726A4A"/>
    <w:rsid w:val="00730B37"/>
    <w:rsid w:val="0073602C"/>
    <w:rsid w:val="007362D3"/>
    <w:rsid w:val="00737090"/>
    <w:rsid w:val="00744B4C"/>
    <w:rsid w:val="0075221E"/>
    <w:rsid w:val="007538FA"/>
    <w:rsid w:val="007566E8"/>
    <w:rsid w:val="00756F5F"/>
    <w:rsid w:val="007578CD"/>
    <w:rsid w:val="0076092F"/>
    <w:rsid w:val="0076210A"/>
    <w:rsid w:val="00765A59"/>
    <w:rsid w:val="0076771B"/>
    <w:rsid w:val="00767BB4"/>
    <w:rsid w:val="00770D98"/>
    <w:rsid w:val="00771A9D"/>
    <w:rsid w:val="007747CB"/>
    <w:rsid w:val="00776A46"/>
    <w:rsid w:val="007821A2"/>
    <w:rsid w:val="0078229B"/>
    <w:rsid w:val="0078253E"/>
    <w:rsid w:val="00783C46"/>
    <w:rsid w:val="0078439F"/>
    <w:rsid w:val="0078480C"/>
    <w:rsid w:val="00785A6D"/>
    <w:rsid w:val="00785C81"/>
    <w:rsid w:val="007870A6"/>
    <w:rsid w:val="0079190D"/>
    <w:rsid w:val="00792127"/>
    <w:rsid w:val="0079365A"/>
    <w:rsid w:val="0079443E"/>
    <w:rsid w:val="007947CB"/>
    <w:rsid w:val="007A0061"/>
    <w:rsid w:val="007A22E0"/>
    <w:rsid w:val="007A417B"/>
    <w:rsid w:val="007A61F8"/>
    <w:rsid w:val="007B3F53"/>
    <w:rsid w:val="007B4627"/>
    <w:rsid w:val="007B4C45"/>
    <w:rsid w:val="007B564B"/>
    <w:rsid w:val="007C0044"/>
    <w:rsid w:val="007C147F"/>
    <w:rsid w:val="007C4132"/>
    <w:rsid w:val="007C51D3"/>
    <w:rsid w:val="007C59AC"/>
    <w:rsid w:val="007C5C27"/>
    <w:rsid w:val="007C7C54"/>
    <w:rsid w:val="007D057F"/>
    <w:rsid w:val="007D6345"/>
    <w:rsid w:val="007D7E4F"/>
    <w:rsid w:val="007E55AE"/>
    <w:rsid w:val="007E62E6"/>
    <w:rsid w:val="007E736B"/>
    <w:rsid w:val="007E74B2"/>
    <w:rsid w:val="007E79CC"/>
    <w:rsid w:val="007E7CB2"/>
    <w:rsid w:val="007F1196"/>
    <w:rsid w:val="007F2049"/>
    <w:rsid w:val="007F2222"/>
    <w:rsid w:val="007F5B45"/>
    <w:rsid w:val="007F6C8F"/>
    <w:rsid w:val="007F718E"/>
    <w:rsid w:val="00800833"/>
    <w:rsid w:val="00802F52"/>
    <w:rsid w:val="008043FD"/>
    <w:rsid w:val="00805770"/>
    <w:rsid w:val="00810851"/>
    <w:rsid w:val="0081175E"/>
    <w:rsid w:val="008130E8"/>
    <w:rsid w:val="008156C5"/>
    <w:rsid w:val="008159EF"/>
    <w:rsid w:val="00816826"/>
    <w:rsid w:val="0081714B"/>
    <w:rsid w:val="00821303"/>
    <w:rsid w:val="008241BF"/>
    <w:rsid w:val="00825147"/>
    <w:rsid w:val="008279BD"/>
    <w:rsid w:val="0083123B"/>
    <w:rsid w:val="00831936"/>
    <w:rsid w:val="00833E55"/>
    <w:rsid w:val="008342B2"/>
    <w:rsid w:val="00835595"/>
    <w:rsid w:val="00840AED"/>
    <w:rsid w:val="00841AAC"/>
    <w:rsid w:val="00842E3A"/>
    <w:rsid w:val="00844D3B"/>
    <w:rsid w:val="008450CE"/>
    <w:rsid w:val="00845CF1"/>
    <w:rsid w:val="008500D6"/>
    <w:rsid w:val="00850A82"/>
    <w:rsid w:val="008556A8"/>
    <w:rsid w:val="00855ABE"/>
    <w:rsid w:val="00861EF2"/>
    <w:rsid w:val="008642F0"/>
    <w:rsid w:val="00872773"/>
    <w:rsid w:val="008805E8"/>
    <w:rsid w:val="00880692"/>
    <w:rsid w:val="00880A1A"/>
    <w:rsid w:val="00880B56"/>
    <w:rsid w:val="00881258"/>
    <w:rsid w:val="00881C4E"/>
    <w:rsid w:val="008828BF"/>
    <w:rsid w:val="00884163"/>
    <w:rsid w:val="0088512A"/>
    <w:rsid w:val="0088556C"/>
    <w:rsid w:val="008919C0"/>
    <w:rsid w:val="00891F3A"/>
    <w:rsid w:val="0089204C"/>
    <w:rsid w:val="00893053"/>
    <w:rsid w:val="008948B4"/>
    <w:rsid w:val="008A1469"/>
    <w:rsid w:val="008A282C"/>
    <w:rsid w:val="008A5511"/>
    <w:rsid w:val="008A7581"/>
    <w:rsid w:val="008A778D"/>
    <w:rsid w:val="008B0F32"/>
    <w:rsid w:val="008B2410"/>
    <w:rsid w:val="008C2258"/>
    <w:rsid w:val="008C2784"/>
    <w:rsid w:val="008C3A25"/>
    <w:rsid w:val="008C457F"/>
    <w:rsid w:val="008C6D67"/>
    <w:rsid w:val="008D1C2D"/>
    <w:rsid w:val="008D399C"/>
    <w:rsid w:val="008D41F4"/>
    <w:rsid w:val="008D6A4F"/>
    <w:rsid w:val="008E2680"/>
    <w:rsid w:val="008E2B4D"/>
    <w:rsid w:val="008E6041"/>
    <w:rsid w:val="008F3DAC"/>
    <w:rsid w:val="008F40AB"/>
    <w:rsid w:val="008F4548"/>
    <w:rsid w:val="008F6069"/>
    <w:rsid w:val="008F698B"/>
    <w:rsid w:val="008F6C7D"/>
    <w:rsid w:val="008F762B"/>
    <w:rsid w:val="00911493"/>
    <w:rsid w:val="00911719"/>
    <w:rsid w:val="009136FC"/>
    <w:rsid w:val="00913C9C"/>
    <w:rsid w:val="00914809"/>
    <w:rsid w:val="0091566B"/>
    <w:rsid w:val="0092260D"/>
    <w:rsid w:val="0092635F"/>
    <w:rsid w:val="0092647A"/>
    <w:rsid w:val="00926D0A"/>
    <w:rsid w:val="00927118"/>
    <w:rsid w:val="009325D6"/>
    <w:rsid w:val="009340CF"/>
    <w:rsid w:val="009342CF"/>
    <w:rsid w:val="0093578A"/>
    <w:rsid w:val="00936555"/>
    <w:rsid w:val="00937355"/>
    <w:rsid w:val="009400C9"/>
    <w:rsid w:val="0094120A"/>
    <w:rsid w:val="00941FBF"/>
    <w:rsid w:val="009445C1"/>
    <w:rsid w:val="009446C5"/>
    <w:rsid w:val="00946A77"/>
    <w:rsid w:val="00950441"/>
    <w:rsid w:val="009564FC"/>
    <w:rsid w:val="00957B0D"/>
    <w:rsid w:val="009605FA"/>
    <w:rsid w:val="00960A2F"/>
    <w:rsid w:val="0096208A"/>
    <w:rsid w:val="00962944"/>
    <w:rsid w:val="00962B58"/>
    <w:rsid w:val="00964C6D"/>
    <w:rsid w:val="0096560C"/>
    <w:rsid w:val="0096668F"/>
    <w:rsid w:val="00967B06"/>
    <w:rsid w:val="00970C68"/>
    <w:rsid w:val="009717FE"/>
    <w:rsid w:val="00972B03"/>
    <w:rsid w:val="00975A35"/>
    <w:rsid w:val="009831CE"/>
    <w:rsid w:val="0098483A"/>
    <w:rsid w:val="0098568A"/>
    <w:rsid w:val="009866D3"/>
    <w:rsid w:val="009906D4"/>
    <w:rsid w:val="0099072F"/>
    <w:rsid w:val="0099091C"/>
    <w:rsid w:val="00990E33"/>
    <w:rsid w:val="009912D7"/>
    <w:rsid w:val="00994309"/>
    <w:rsid w:val="00995E0A"/>
    <w:rsid w:val="00996A5F"/>
    <w:rsid w:val="009A0F14"/>
    <w:rsid w:val="009A1084"/>
    <w:rsid w:val="009A2ED6"/>
    <w:rsid w:val="009A2FCD"/>
    <w:rsid w:val="009A664D"/>
    <w:rsid w:val="009A6845"/>
    <w:rsid w:val="009B0AAC"/>
    <w:rsid w:val="009B0F11"/>
    <w:rsid w:val="009B70E1"/>
    <w:rsid w:val="009C3BEF"/>
    <w:rsid w:val="009C4F74"/>
    <w:rsid w:val="009C62EA"/>
    <w:rsid w:val="009C6A27"/>
    <w:rsid w:val="009C7C6B"/>
    <w:rsid w:val="009D04BC"/>
    <w:rsid w:val="009D23E0"/>
    <w:rsid w:val="009D449F"/>
    <w:rsid w:val="009D4CC7"/>
    <w:rsid w:val="009D50D7"/>
    <w:rsid w:val="009E021D"/>
    <w:rsid w:val="009E3BC0"/>
    <w:rsid w:val="009E450B"/>
    <w:rsid w:val="009E4B6C"/>
    <w:rsid w:val="009E6626"/>
    <w:rsid w:val="009E716D"/>
    <w:rsid w:val="009E7D65"/>
    <w:rsid w:val="009F0665"/>
    <w:rsid w:val="009F1755"/>
    <w:rsid w:val="009F2772"/>
    <w:rsid w:val="009F46DB"/>
    <w:rsid w:val="009F48AB"/>
    <w:rsid w:val="009F5680"/>
    <w:rsid w:val="00A04609"/>
    <w:rsid w:val="00A064AB"/>
    <w:rsid w:val="00A07792"/>
    <w:rsid w:val="00A124BF"/>
    <w:rsid w:val="00A14EBB"/>
    <w:rsid w:val="00A1584E"/>
    <w:rsid w:val="00A16F2B"/>
    <w:rsid w:val="00A20AD6"/>
    <w:rsid w:val="00A2233F"/>
    <w:rsid w:val="00A23F00"/>
    <w:rsid w:val="00A24832"/>
    <w:rsid w:val="00A24FCC"/>
    <w:rsid w:val="00A32747"/>
    <w:rsid w:val="00A32A95"/>
    <w:rsid w:val="00A32AA7"/>
    <w:rsid w:val="00A34032"/>
    <w:rsid w:val="00A351E8"/>
    <w:rsid w:val="00A41A8B"/>
    <w:rsid w:val="00A42EF2"/>
    <w:rsid w:val="00A43338"/>
    <w:rsid w:val="00A44182"/>
    <w:rsid w:val="00A44759"/>
    <w:rsid w:val="00A46BD1"/>
    <w:rsid w:val="00A50692"/>
    <w:rsid w:val="00A50B1A"/>
    <w:rsid w:val="00A5437F"/>
    <w:rsid w:val="00A559B1"/>
    <w:rsid w:val="00A55B3A"/>
    <w:rsid w:val="00A61834"/>
    <w:rsid w:val="00A62F16"/>
    <w:rsid w:val="00A638BC"/>
    <w:rsid w:val="00A65385"/>
    <w:rsid w:val="00A7035A"/>
    <w:rsid w:val="00A7351E"/>
    <w:rsid w:val="00A73731"/>
    <w:rsid w:val="00A74553"/>
    <w:rsid w:val="00A75228"/>
    <w:rsid w:val="00A80D77"/>
    <w:rsid w:val="00A83D37"/>
    <w:rsid w:val="00A83DD9"/>
    <w:rsid w:val="00A8613C"/>
    <w:rsid w:val="00A900F4"/>
    <w:rsid w:val="00A917A3"/>
    <w:rsid w:val="00A926C2"/>
    <w:rsid w:val="00A92D94"/>
    <w:rsid w:val="00A93748"/>
    <w:rsid w:val="00A943ED"/>
    <w:rsid w:val="00A95C1B"/>
    <w:rsid w:val="00A97979"/>
    <w:rsid w:val="00A97CF7"/>
    <w:rsid w:val="00AA0B46"/>
    <w:rsid w:val="00AA4688"/>
    <w:rsid w:val="00AA5AE1"/>
    <w:rsid w:val="00AA7374"/>
    <w:rsid w:val="00AB0066"/>
    <w:rsid w:val="00AB0196"/>
    <w:rsid w:val="00AB4858"/>
    <w:rsid w:val="00AB7B8C"/>
    <w:rsid w:val="00AC2552"/>
    <w:rsid w:val="00AC2C63"/>
    <w:rsid w:val="00AC3EE1"/>
    <w:rsid w:val="00AC4904"/>
    <w:rsid w:val="00AC49E9"/>
    <w:rsid w:val="00AC57F9"/>
    <w:rsid w:val="00AC6BE3"/>
    <w:rsid w:val="00AD0909"/>
    <w:rsid w:val="00AD16E5"/>
    <w:rsid w:val="00AD2D04"/>
    <w:rsid w:val="00AD3154"/>
    <w:rsid w:val="00AD3BC5"/>
    <w:rsid w:val="00AD734A"/>
    <w:rsid w:val="00AE0CEB"/>
    <w:rsid w:val="00AE1830"/>
    <w:rsid w:val="00AF0C97"/>
    <w:rsid w:val="00AF35ED"/>
    <w:rsid w:val="00AF50D4"/>
    <w:rsid w:val="00AF6ADA"/>
    <w:rsid w:val="00AF7F28"/>
    <w:rsid w:val="00B008D7"/>
    <w:rsid w:val="00B040A4"/>
    <w:rsid w:val="00B1115A"/>
    <w:rsid w:val="00B11C3B"/>
    <w:rsid w:val="00B127E9"/>
    <w:rsid w:val="00B13FCF"/>
    <w:rsid w:val="00B1581A"/>
    <w:rsid w:val="00B16CF8"/>
    <w:rsid w:val="00B174AA"/>
    <w:rsid w:val="00B20D93"/>
    <w:rsid w:val="00B2245B"/>
    <w:rsid w:val="00B2319F"/>
    <w:rsid w:val="00B23322"/>
    <w:rsid w:val="00B236E4"/>
    <w:rsid w:val="00B2613B"/>
    <w:rsid w:val="00B271BD"/>
    <w:rsid w:val="00B27ADA"/>
    <w:rsid w:val="00B3121D"/>
    <w:rsid w:val="00B316FB"/>
    <w:rsid w:val="00B31840"/>
    <w:rsid w:val="00B330F3"/>
    <w:rsid w:val="00B33D14"/>
    <w:rsid w:val="00B35353"/>
    <w:rsid w:val="00B3626A"/>
    <w:rsid w:val="00B36372"/>
    <w:rsid w:val="00B36766"/>
    <w:rsid w:val="00B40C50"/>
    <w:rsid w:val="00B440A5"/>
    <w:rsid w:val="00B44FC8"/>
    <w:rsid w:val="00B46A0E"/>
    <w:rsid w:val="00B46D6B"/>
    <w:rsid w:val="00B473E9"/>
    <w:rsid w:val="00B509E9"/>
    <w:rsid w:val="00B50F36"/>
    <w:rsid w:val="00B510B7"/>
    <w:rsid w:val="00B55A07"/>
    <w:rsid w:val="00B57629"/>
    <w:rsid w:val="00B62298"/>
    <w:rsid w:val="00B6250F"/>
    <w:rsid w:val="00B62A3D"/>
    <w:rsid w:val="00B62F47"/>
    <w:rsid w:val="00B70E85"/>
    <w:rsid w:val="00B72A3E"/>
    <w:rsid w:val="00B80FF9"/>
    <w:rsid w:val="00B8188C"/>
    <w:rsid w:val="00B82B76"/>
    <w:rsid w:val="00B82E83"/>
    <w:rsid w:val="00B82F3F"/>
    <w:rsid w:val="00B838D4"/>
    <w:rsid w:val="00B852F2"/>
    <w:rsid w:val="00B85F7C"/>
    <w:rsid w:val="00B928FC"/>
    <w:rsid w:val="00B936A3"/>
    <w:rsid w:val="00B94DA6"/>
    <w:rsid w:val="00B95BF5"/>
    <w:rsid w:val="00B97CB9"/>
    <w:rsid w:val="00BA0469"/>
    <w:rsid w:val="00BA0703"/>
    <w:rsid w:val="00BA18E7"/>
    <w:rsid w:val="00BA3032"/>
    <w:rsid w:val="00BA53D3"/>
    <w:rsid w:val="00BA638D"/>
    <w:rsid w:val="00BA6E5B"/>
    <w:rsid w:val="00BB0A05"/>
    <w:rsid w:val="00BB5399"/>
    <w:rsid w:val="00BB7D46"/>
    <w:rsid w:val="00BC0480"/>
    <w:rsid w:val="00BC28F6"/>
    <w:rsid w:val="00BC2925"/>
    <w:rsid w:val="00BC3B62"/>
    <w:rsid w:val="00BC4ACE"/>
    <w:rsid w:val="00BC51D6"/>
    <w:rsid w:val="00BC7275"/>
    <w:rsid w:val="00BD10B5"/>
    <w:rsid w:val="00BD2F56"/>
    <w:rsid w:val="00BD3A5B"/>
    <w:rsid w:val="00BD5CE5"/>
    <w:rsid w:val="00BD5FB0"/>
    <w:rsid w:val="00BD626D"/>
    <w:rsid w:val="00BE05F9"/>
    <w:rsid w:val="00BE0FBA"/>
    <w:rsid w:val="00BE2AEF"/>
    <w:rsid w:val="00BE6789"/>
    <w:rsid w:val="00BF0D35"/>
    <w:rsid w:val="00BF64AF"/>
    <w:rsid w:val="00BF64F8"/>
    <w:rsid w:val="00C01A5C"/>
    <w:rsid w:val="00C02954"/>
    <w:rsid w:val="00C07659"/>
    <w:rsid w:val="00C10A28"/>
    <w:rsid w:val="00C13AD0"/>
    <w:rsid w:val="00C14050"/>
    <w:rsid w:val="00C16C65"/>
    <w:rsid w:val="00C203F4"/>
    <w:rsid w:val="00C26495"/>
    <w:rsid w:val="00C313F7"/>
    <w:rsid w:val="00C31CD4"/>
    <w:rsid w:val="00C33AC6"/>
    <w:rsid w:val="00C343B4"/>
    <w:rsid w:val="00C3630E"/>
    <w:rsid w:val="00C36F45"/>
    <w:rsid w:val="00C37739"/>
    <w:rsid w:val="00C40510"/>
    <w:rsid w:val="00C40F6A"/>
    <w:rsid w:val="00C410A0"/>
    <w:rsid w:val="00C438A3"/>
    <w:rsid w:val="00C457D2"/>
    <w:rsid w:val="00C46398"/>
    <w:rsid w:val="00C47A60"/>
    <w:rsid w:val="00C500A2"/>
    <w:rsid w:val="00C53080"/>
    <w:rsid w:val="00C53BED"/>
    <w:rsid w:val="00C54306"/>
    <w:rsid w:val="00C57CA3"/>
    <w:rsid w:val="00C57E39"/>
    <w:rsid w:val="00C6050D"/>
    <w:rsid w:val="00C64D62"/>
    <w:rsid w:val="00C67378"/>
    <w:rsid w:val="00C70018"/>
    <w:rsid w:val="00C71025"/>
    <w:rsid w:val="00C764ED"/>
    <w:rsid w:val="00C82D12"/>
    <w:rsid w:val="00C85618"/>
    <w:rsid w:val="00C87EF1"/>
    <w:rsid w:val="00C911BD"/>
    <w:rsid w:val="00C94447"/>
    <w:rsid w:val="00C945A4"/>
    <w:rsid w:val="00C9585F"/>
    <w:rsid w:val="00C9714F"/>
    <w:rsid w:val="00CA1FFB"/>
    <w:rsid w:val="00CA6185"/>
    <w:rsid w:val="00CB09C6"/>
    <w:rsid w:val="00CB2224"/>
    <w:rsid w:val="00CB3682"/>
    <w:rsid w:val="00CB3B66"/>
    <w:rsid w:val="00CB3F0C"/>
    <w:rsid w:val="00CB5F4E"/>
    <w:rsid w:val="00CB6456"/>
    <w:rsid w:val="00CB6AD9"/>
    <w:rsid w:val="00CB6EA0"/>
    <w:rsid w:val="00CC0419"/>
    <w:rsid w:val="00CC07A3"/>
    <w:rsid w:val="00CC0E70"/>
    <w:rsid w:val="00CC0FB2"/>
    <w:rsid w:val="00CC17A4"/>
    <w:rsid w:val="00CC232F"/>
    <w:rsid w:val="00CC2CBF"/>
    <w:rsid w:val="00CC5212"/>
    <w:rsid w:val="00CC6F1E"/>
    <w:rsid w:val="00CC6F52"/>
    <w:rsid w:val="00CD01B8"/>
    <w:rsid w:val="00CD12D5"/>
    <w:rsid w:val="00CD1E8E"/>
    <w:rsid w:val="00CE48BC"/>
    <w:rsid w:val="00CE6B3A"/>
    <w:rsid w:val="00CF0F63"/>
    <w:rsid w:val="00CF1A81"/>
    <w:rsid w:val="00CF1B4E"/>
    <w:rsid w:val="00CF2275"/>
    <w:rsid w:val="00CF29F9"/>
    <w:rsid w:val="00CF3DE5"/>
    <w:rsid w:val="00CF3FE9"/>
    <w:rsid w:val="00CF53A1"/>
    <w:rsid w:val="00CF7E89"/>
    <w:rsid w:val="00D01C6D"/>
    <w:rsid w:val="00D03B97"/>
    <w:rsid w:val="00D06E3C"/>
    <w:rsid w:val="00D1078E"/>
    <w:rsid w:val="00D112F9"/>
    <w:rsid w:val="00D12770"/>
    <w:rsid w:val="00D15C6E"/>
    <w:rsid w:val="00D16162"/>
    <w:rsid w:val="00D16DBD"/>
    <w:rsid w:val="00D33BD3"/>
    <w:rsid w:val="00D34418"/>
    <w:rsid w:val="00D34E2F"/>
    <w:rsid w:val="00D36FBB"/>
    <w:rsid w:val="00D413CD"/>
    <w:rsid w:val="00D416E5"/>
    <w:rsid w:val="00D42632"/>
    <w:rsid w:val="00D431F1"/>
    <w:rsid w:val="00D43F89"/>
    <w:rsid w:val="00D44E6C"/>
    <w:rsid w:val="00D45595"/>
    <w:rsid w:val="00D46FE5"/>
    <w:rsid w:val="00D516A1"/>
    <w:rsid w:val="00D523B0"/>
    <w:rsid w:val="00D536DB"/>
    <w:rsid w:val="00D53B49"/>
    <w:rsid w:val="00D5485B"/>
    <w:rsid w:val="00D56CAA"/>
    <w:rsid w:val="00D57D85"/>
    <w:rsid w:val="00D6004D"/>
    <w:rsid w:val="00D60090"/>
    <w:rsid w:val="00D61872"/>
    <w:rsid w:val="00D6498D"/>
    <w:rsid w:val="00D714C6"/>
    <w:rsid w:val="00D7211C"/>
    <w:rsid w:val="00D72D07"/>
    <w:rsid w:val="00D7565A"/>
    <w:rsid w:val="00D76A2B"/>
    <w:rsid w:val="00D8077A"/>
    <w:rsid w:val="00D80986"/>
    <w:rsid w:val="00D83D9C"/>
    <w:rsid w:val="00D848E8"/>
    <w:rsid w:val="00D86C3D"/>
    <w:rsid w:val="00D875D6"/>
    <w:rsid w:val="00D87B7F"/>
    <w:rsid w:val="00D906DF"/>
    <w:rsid w:val="00D920E1"/>
    <w:rsid w:val="00D9368E"/>
    <w:rsid w:val="00D93E62"/>
    <w:rsid w:val="00DA26EE"/>
    <w:rsid w:val="00DA5CAA"/>
    <w:rsid w:val="00DB089C"/>
    <w:rsid w:val="00DB1C0A"/>
    <w:rsid w:val="00DB228E"/>
    <w:rsid w:val="00DB3F96"/>
    <w:rsid w:val="00DB665C"/>
    <w:rsid w:val="00DB6AE6"/>
    <w:rsid w:val="00DC10B1"/>
    <w:rsid w:val="00DC4B64"/>
    <w:rsid w:val="00DC77AF"/>
    <w:rsid w:val="00DC7C73"/>
    <w:rsid w:val="00DC7D35"/>
    <w:rsid w:val="00DD2F9D"/>
    <w:rsid w:val="00DD4898"/>
    <w:rsid w:val="00DD50DD"/>
    <w:rsid w:val="00DD5224"/>
    <w:rsid w:val="00DE0C7B"/>
    <w:rsid w:val="00DE1E33"/>
    <w:rsid w:val="00DE2AEB"/>
    <w:rsid w:val="00DE708A"/>
    <w:rsid w:val="00DF0ACB"/>
    <w:rsid w:val="00DF1681"/>
    <w:rsid w:val="00DF2F1B"/>
    <w:rsid w:val="00DF5546"/>
    <w:rsid w:val="00DF6C37"/>
    <w:rsid w:val="00DF79BF"/>
    <w:rsid w:val="00E00D86"/>
    <w:rsid w:val="00E02173"/>
    <w:rsid w:val="00E02444"/>
    <w:rsid w:val="00E02B20"/>
    <w:rsid w:val="00E03CF7"/>
    <w:rsid w:val="00E070F7"/>
    <w:rsid w:val="00E10845"/>
    <w:rsid w:val="00E13338"/>
    <w:rsid w:val="00E14979"/>
    <w:rsid w:val="00E16737"/>
    <w:rsid w:val="00E220D5"/>
    <w:rsid w:val="00E2655E"/>
    <w:rsid w:val="00E26663"/>
    <w:rsid w:val="00E3049C"/>
    <w:rsid w:val="00E34C1E"/>
    <w:rsid w:val="00E4202E"/>
    <w:rsid w:val="00E4208F"/>
    <w:rsid w:val="00E43E60"/>
    <w:rsid w:val="00E4516E"/>
    <w:rsid w:val="00E5182F"/>
    <w:rsid w:val="00E51906"/>
    <w:rsid w:val="00E51E3E"/>
    <w:rsid w:val="00E545A4"/>
    <w:rsid w:val="00E60B97"/>
    <w:rsid w:val="00E627C2"/>
    <w:rsid w:val="00E63BF7"/>
    <w:rsid w:val="00E65992"/>
    <w:rsid w:val="00E65D9D"/>
    <w:rsid w:val="00E67C27"/>
    <w:rsid w:val="00E745A9"/>
    <w:rsid w:val="00E7746D"/>
    <w:rsid w:val="00E81E76"/>
    <w:rsid w:val="00E81E94"/>
    <w:rsid w:val="00E822BA"/>
    <w:rsid w:val="00E85ECC"/>
    <w:rsid w:val="00E8792A"/>
    <w:rsid w:val="00E903D5"/>
    <w:rsid w:val="00E91483"/>
    <w:rsid w:val="00E9220E"/>
    <w:rsid w:val="00E935BF"/>
    <w:rsid w:val="00E938A4"/>
    <w:rsid w:val="00EA033C"/>
    <w:rsid w:val="00EA1EA6"/>
    <w:rsid w:val="00EA4D0C"/>
    <w:rsid w:val="00EA7DA7"/>
    <w:rsid w:val="00EB12F4"/>
    <w:rsid w:val="00EB173D"/>
    <w:rsid w:val="00EB1ABE"/>
    <w:rsid w:val="00EB1B31"/>
    <w:rsid w:val="00EB43D6"/>
    <w:rsid w:val="00EB57C8"/>
    <w:rsid w:val="00EC04B1"/>
    <w:rsid w:val="00EC0D2D"/>
    <w:rsid w:val="00EC5700"/>
    <w:rsid w:val="00EC7A4B"/>
    <w:rsid w:val="00ED1100"/>
    <w:rsid w:val="00ED2C9A"/>
    <w:rsid w:val="00ED333C"/>
    <w:rsid w:val="00ED349B"/>
    <w:rsid w:val="00ED3601"/>
    <w:rsid w:val="00ED3F29"/>
    <w:rsid w:val="00ED4077"/>
    <w:rsid w:val="00ED4E93"/>
    <w:rsid w:val="00ED5CF0"/>
    <w:rsid w:val="00ED5D4C"/>
    <w:rsid w:val="00ED5D4F"/>
    <w:rsid w:val="00ED7045"/>
    <w:rsid w:val="00ED7DB9"/>
    <w:rsid w:val="00EE0C91"/>
    <w:rsid w:val="00EE3630"/>
    <w:rsid w:val="00EE63C3"/>
    <w:rsid w:val="00EF2E6A"/>
    <w:rsid w:val="00EF3DC0"/>
    <w:rsid w:val="00EF4123"/>
    <w:rsid w:val="00EF486E"/>
    <w:rsid w:val="00EF67A8"/>
    <w:rsid w:val="00EF6F1B"/>
    <w:rsid w:val="00F01BCD"/>
    <w:rsid w:val="00F01C08"/>
    <w:rsid w:val="00F02C82"/>
    <w:rsid w:val="00F031AF"/>
    <w:rsid w:val="00F03D5D"/>
    <w:rsid w:val="00F070CD"/>
    <w:rsid w:val="00F078E6"/>
    <w:rsid w:val="00F16671"/>
    <w:rsid w:val="00F21590"/>
    <w:rsid w:val="00F2270F"/>
    <w:rsid w:val="00F23622"/>
    <w:rsid w:val="00F23C03"/>
    <w:rsid w:val="00F23DEB"/>
    <w:rsid w:val="00F301A5"/>
    <w:rsid w:val="00F3394A"/>
    <w:rsid w:val="00F34AAC"/>
    <w:rsid w:val="00F43374"/>
    <w:rsid w:val="00F47869"/>
    <w:rsid w:val="00F5150E"/>
    <w:rsid w:val="00F52AD7"/>
    <w:rsid w:val="00F57913"/>
    <w:rsid w:val="00F57D5F"/>
    <w:rsid w:val="00F60C3B"/>
    <w:rsid w:val="00F626D7"/>
    <w:rsid w:val="00F62F68"/>
    <w:rsid w:val="00F64B8F"/>
    <w:rsid w:val="00F64D23"/>
    <w:rsid w:val="00F6536B"/>
    <w:rsid w:val="00F65638"/>
    <w:rsid w:val="00F70331"/>
    <w:rsid w:val="00F71509"/>
    <w:rsid w:val="00F718A7"/>
    <w:rsid w:val="00F72047"/>
    <w:rsid w:val="00F75BF2"/>
    <w:rsid w:val="00F75D0A"/>
    <w:rsid w:val="00F76B49"/>
    <w:rsid w:val="00F7747B"/>
    <w:rsid w:val="00F800CF"/>
    <w:rsid w:val="00F84C18"/>
    <w:rsid w:val="00F87A28"/>
    <w:rsid w:val="00F91B30"/>
    <w:rsid w:val="00F91B9E"/>
    <w:rsid w:val="00F95065"/>
    <w:rsid w:val="00F95DCD"/>
    <w:rsid w:val="00F963AE"/>
    <w:rsid w:val="00FA0FD9"/>
    <w:rsid w:val="00FA14F0"/>
    <w:rsid w:val="00FA2713"/>
    <w:rsid w:val="00FB222D"/>
    <w:rsid w:val="00FB2656"/>
    <w:rsid w:val="00FB4732"/>
    <w:rsid w:val="00FB5D43"/>
    <w:rsid w:val="00FC0165"/>
    <w:rsid w:val="00FC1557"/>
    <w:rsid w:val="00FC1E65"/>
    <w:rsid w:val="00FC216D"/>
    <w:rsid w:val="00FC3CD9"/>
    <w:rsid w:val="00FC4419"/>
    <w:rsid w:val="00FC4CB4"/>
    <w:rsid w:val="00FC4D1B"/>
    <w:rsid w:val="00FC623A"/>
    <w:rsid w:val="00FC6C95"/>
    <w:rsid w:val="00FC6CDE"/>
    <w:rsid w:val="00FD05BD"/>
    <w:rsid w:val="00FD4721"/>
    <w:rsid w:val="00FD672B"/>
    <w:rsid w:val="00FE1244"/>
    <w:rsid w:val="00FE1DF9"/>
    <w:rsid w:val="00FE23C3"/>
    <w:rsid w:val="00FE46FE"/>
    <w:rsid w:val="00FE5439"/>
    <w:rsid w:val="00FE6CF6"/>
    <w:rsid w:val="00FE7BBB"/>
    <w:rsid w:val="00FF0729"/>
    <w:rsid w:val="00FF0EE0"/>
    <w:rsid w:val="00FF0F6D"/>
    <w:rsid w:val="00FF1B1C"/>
    <w:rsid w:val="00FF4EC7"/>
    <w:rsid w:val="00FF583D"/>
    <w:rsid w:val="00FF5D02"/>
    <w:rsid w:val="00FF6D76"/>
    <w:rsid w:val="02BF77F6"/>
    <w:rsid w:val="02F37F97"/>
    <w:rsid w:val="0428457E"/>
    <w:rsid w:val="04EC4AB5"/>
    <w:rsid w:val="05397DCC"/>
    <w:rsid w:val="05BB1FCA"/>
    <w:rsid w:val="066F769B"/>
    <w:rsid w:val="0931635A"/>
    <w:rsid w:val="0AC10861"/>
    <w:rsid w:val="0B9743F0"/>
    <w:rsid w:val="0CB97065"/>
    <w:rsid w:val="0CDA724B"/>
    <w:rsid w:val="0D47480B"/>
    <w:rsid w:val="0DCF59C7"/>
    <w:rsid w:val="0F39623B"/>
    <w:rsid w:val="101E023A"/>
    <w:rsid w:val="10894481"/>
    <w:rsid w:val="11B04522"/>
    <w:rsid w:val="134C6CD3"/>
    <w:rsid w:val="136F2011"/>
    <w:rsid w:val="14A25DE5"/>
    <w:rsid w:val="151267AE"/>
    <w:rsid w:val="167B5A97"/>
    <w:rsid w:val="1B482150"/>
    <w:rsid w:val="1E240B9C"/>
    <w:rsid w:val="1EE53B2D"/>
    <w:rsid w:val="1EF81C6E"/>
    <w:rsid w:val="1F5144F2"/>
    <w:rsid w:val="202C3D0E"/>
    <w:rsid w:val="20C35518"/>
    <w:rsid w:val="20E701EC"/>
    <w:rsid w:val="23003127"/>
    <w:rsid w:val="23BD5235"/>
    <w:rsid w:val="25AF3901"/>
    <w:rsid w:val="26393505"/>
    <w:rsid w:val="26AA609F"/>
    <w:rsid w:val="2A2A6532"/>
    <w:rsid w:val="2A33143C"/>
    <w:rsid w:val="2BFA7F82"/>
    <w:rsid w:val="2CA54542"/>
    <w:rsid w:val="2D797986"/>
    <w:rsid w:val="2DF73CC6"/>
    <w:rsid w:val="301B1FE2"/>
    <w:rsid w:val="31205251"/>
    <w:rsid w:val="3201777D"/>
    <w:rsid w:val="34733764"/>
    <w:rsid w:val="37B15F36"/>
    <w:rsid w:val="38625513"/>
    <w:rsid w:val="38CA638E"/>
    <w:rsid w:val="395A7E9C"/>
    <w:rsid w:val="39F81869"/>
    <w:rsid w:val="3A4A7343"/>
    <w:rsid w:val="3B8D0C6A"/>
    <w:rsid w:val="3E934763"/>
    <w:rsid w:val="3F037B00"/>
    <w:rsid w:val="3F8E2D6E"/>
    <w:rsid w:val="3F991855"/>
    <w:rsid w:val="424129E7"/>
    <w:rsid w:val="42925DB2"/>
    <w:rsid w:val="4306081A"/>
    <w:rsid w:val="439F4C37"/>
    <w:rsid w:val="47182BDB"/>
    <w:rsid w:val="474E3D9D"/>
    <w:rsid w:val="48205F29"/>
    <w:rsid w:val="485F657B"/>
    <w:rsid w:val="49920446"/>
    <w:rsid w:val="4A812DC3"/>
    <w:rsid w:val="4AF30FEA"/>
    <w:rsid w:val="4B031E33"/>
    <w:rsid w:val="4C212132"/>
    <w:rsid w:val="4DDF7081"/>
    <w:rsid w:val="4E323FA5"/>
    <w:rsid w:val="4E6A4E77"/>
    <w:rsid w:val="4EC41A69"/>
    <w:rsid w:val="50DE6667"/>
    <w:rsid w:val="51854500"/>
    <w:rsid w:val="519962EE"/>
    <w:rsid w:val="525206F3"/>
    <w:rsid w:val="52A116FA"/>
    <w:rsid w:val="536C0D29"/>
    <w:rsid w:val="53CD3811"/>
    <w:rsid w:val="54FC1E19"/>
    <w:rsid w:val="561D7B79"/>
    <w:rsid w:val="56AF6ADB"/>
    <w:rsid w:val="59475402"/>
    <w:rsid w:val="59EC7495"/>
    <w:rsid w:val="5BBE50CA"/>
    <w:rsid w:val="5BEF30C3"/>
    <w:rsid w:val="5BFD5A93"/>
    <w:rsid w:val="5D3C61B8"/>
    <w:rsid w:val="60916CF4"/>
    <w:rsid w:val="60C211B9"/>
    <w:rsid w:val="61686204"/>
    <w:rsid w:val="620F29E1"/>
    <w:rsid w:val="62BE353F"/>
    <w:rsid w:val="63393A2F"/>
    <w:rsid w:val="67C648EF"/>
    <w:rsid w:val="69C947A8"/>
    <w:rsid w:val="69F544FD"/>
    <w:rsid w:val="6B142C1D"/>
    <w:rsid w:val="6C983716"/>
    <w:rsid w:val="712D267F"/>
    <w:rsid w:val="72203F10"/>
    <w:rsid w:val="72FF05BD"/>
    <w:rsid w:val="734E1327"/>
    <w:rsid w:val="75017FC7"/>
    <w:rsid w:val="793C4FE2"/>
    <w:rsid w:val="7A232386"/>
    <w:rsid w:val="7A2669A2"/>
    <w:rsid w:val="7B3B2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paragraph" w:styleId="3">
    <w:name w:val="heading 2"/>
    <w:basedOn w:val="1"/>
    <w:next w:val="1"/>
    <w:link w:val="14"/>
    <w:qFormat/>
    <w:uiPriority w:val="0"/>
    <w:pPr>
      <w:keepNext/>
      <w:keepLines/>
      <w:widowControl w:val="0"/>
      <w:spacing w:before="260" w:after="260" w:line="416" w:lineRule="auto"/>
      <w:jc w:val="both"/>
      <w:outlineLvl w:val="1"/>
    </w:pPr>
    <w:rPr>
      <w:rFonts w:ascii="Arial" w:hAnsi="Arial" w:eastAsia="黑体"/>
      <w:b/>
      <w:bCs/>
      <w:kern w:val="2"/>
      <w:sz w:val="32"/>
      <w:szCs w:val="32"/>
    </w:rPr>
  </w:style>
  <w:style w:type="paragraph" w:styleId="4">
    <w:name w:val="heading 3"/>
    <w:basedOn w:val="1"/>
    <w:next w:val="1"/>
    <w:link w:val="15"/>
    <w:qFormat/>
    <w:uiPriority w:val="0"/>
    <w:pPr>
      <w:keepNext/>
      <w:keepLines/>
      <w:widowControl w:val="0"/>
      <w:spacing w:before="260" w:after="260" w:line="416" w:lineRule="auto"/>
      <w:jc w:val="both"/>
      <w:outlineLvl w:val="2"/>
    </w:pPr>
    <w:rPr>
      <w:b/>
      <w:bCs/>
      <w:kern w:val="2"/>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szCs w:val="24"/>
    </w:rPr>
  </w:style>
  <w:style w:type="table" w:styleId="9">
    <w:name w:val="Table Grid"/>
    <w:basedOn w:val="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autoRedefine/>
    <w:qFormat/>
    <w:uiPriority w:val="99"/>
    <w:rPr>
      <w:rFonts w:ascii="Times New Roman" w:hAnsi="Times New Roman"/>
      <w:sz w:val="18"/>
      <w:szCs w:val="18"/>
    </w:rPr>
  </w:style>
  <w:style w:type="character" w:customStyle="1" w:styleId="12">
    <w:name w:val="页脚 Char"/>
    <w:basedOn w:val="10"/>
    <w:link w:val="5"/>
    <w:qFormat/>
    <w:uiPriority w:val="99"/>
    <w:rPr>
      <w:rFonts w:ascii="Times New Roman" w:hAnsi="Times New Roman"/>
      <w:sz w:val="18"/>
      <w:szCs w:val="18"/>
    </w:rPr>
  </w:style>
  <w:style w:type="character" w:customStyle="1" w:styleId="13">
    <w:name w:val="标题 1 Char"/>
    <w:basedOn w:val="10"/>
    <w:link w:val="2"/>
    <w:qFormat/>
    <w:uiPriority w:val="0"/>
    <w:rPr>
      <w:rFonts w:ascii="Times New Roman" w:hAnsi="Times New Roman"/>
      <w:b/>
      <w:bCs/>
      <w:kern w:val="44"/>
      <w:sz w:val="44"/>
      <w:szCs w:val="44"/>
    </w:rPr>
  </w:style>
  <w:style w:type="character" w:customStyle="1" w:styleId="14">
    <w:name w:val="标题 2 Char"/>
    <w:basedOn w:val="10"/>
    <w:link w:val="3"/>
    <w:qFormat/>
    <w:uiPriority w:val="0"/>
    <w:rPr>
      <w:rFonts w:ascii="Arial" w:hAnsi="Arial" w:eastAsia="黑体"/>
      <w:b/>
      <w:bCs/>
      <w:kern w:val="2"/>
      <w:sz w:val="32"/>
      <w:szCs w:val="32"/>
    </w:rPr>
  </w:style>
  <w:style w:type="character" w:customStyle="1" w:styleId="15">
    <w:name w:val="标题 3 Char"/>
    <w:basedOn w:val="10"/>
    <w:link w:val="4"/>
    <w:autoRedefine/>
    <w:qFormat/>
    <w:uiPriority w:val="0"/>
    <w:rPr>
      <w:rFonts w:ascii="Times New Roman" w:hAnsi="Times New Roman"/>
      <w:b/>
      <w:bCs/>
      <w:kern w:val="2"/>
      <w:sz w:val="32"/>
      <w:szCs w:val="32"/>
    </w:rPr>
  </w:style>
  <w:style w:type="paragraph" w:customStyle="1" w:styleId="16">
    <w:name w:val="普通 (Web)"/>
    <w:basedOn w:val="1"/>
    <w:autoRedefine/>
    <w:qFormat/>
    <w:uiPriority w:val="0"/>
    <w:pPr>
      <w:spacing w:before="100" w:beforeAutospacing="1" w:after="100" w:afterAutospacing="1" w:line="300" w:lineRule="auto"/>
    </w:pPr>
    <w:rPr>
      <w:rFonts w:ascii="宋体" w:hAnsi="宋体"/>
      <w:sz w:val="24"/>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13</Pages>
  <Words>5723</Words>
  <Characters>6038</Characters>
  <Lines>45</Lines>
  <Paragraphs>12</Paragraphs>
  <TotalTime>12</TotalTime>
  <ScaleCrop>false</ScaleCrop>
  <LinksUpToDate>false</LinksUpToDate>
  <CharactersWithSpaces>6117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2023-07-18T01:08:00Z</dcterms:created>
  <dc:creator>Administrator</dc:creator>
  <cp:lastModifiedBy>DELL</cp:lastModifiedBy>
  <cp:lastPrinted>2023-07-18T07:50:00Z</cp:lastPrinted>
  <dcterms:modified xsi:type="dcterms:W3CDTF">2024-05-29T00:58:28Z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C7675332D8744F8280247A7108EF2843</vt:lpwstr>
  </property>
</Properties>
</file>