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0D8E" w14:textId="58A6BB9A" w:rsidR="00EC0A84" w:rsidRPr="008D4904" w:rsidRDefault="00EC0A84">
      <w:pPr>
        <w:rPr>
          <w:rFonts w:ascii="宋体" w:eastAsia="宋体" w:hAnsi="宋体"/>
          <w:sz w:val="28"/>
          <w:szCs w:val="28"/>
        </w:rPr>
      </w:pPr>
      <w:r w:rsidRPr="008D4904">
        <w:rPr>
          <w:rFonts w:ascii="宋体" w:eastAsia="宋体" w:hAnsi="宋体" w:hint="eastAsia"/>
          <w:sz w:val="28"/>
          <w:szCs w:val="28"/>
        </w:rPr>
        <w:t>附件：</w:t>
      </w:r>
    </w:p>
    <w:p w14:paraId="0F77FAFC" w14:textId="2DB2431D" w:rsidR="00EC0A84" w:rsidRDefault="00EC0A84" w:rsidP="008D4904">
      <w:pPr>
        <w:jc w:val="center"/>
        <w:rPr>
          <w:rFonts w:ascii="宋体" w:eastAsia="宋体" w:hAnsi="宋体"/>
          <w:b/>
          <w:bCs/>
          <w:sz w:val="40"/>
          <w:szCs w:val="40"/>
        </w:rPr>
      </w:pPr>
      <w:r w:rsidRPr="00603D50">
        <w:rPr>
          <w:rFonts w:ascii="宋体" w:eastAsia="宋体" w:hAnsi="宋体" w:hint="eastAsia"/>
          <w:b/>
          <w:bCs/>
          <w:sz w:val="40"/>
          <w:szCs w:val="40"/>
        </w:rPr>
        <w:t>2</w:t>
      </w:r>
      <w:r w:rsidRPr="00603D50">
        <w:rPr>
          <w:rFonts w:ascii="宋体" w:eastAsia="宋体" w:hAnsi="宋体"/>
          <w:b/>
          <w:bCs/>
          <w:sz w:val="40"/>
          <w:szCs w:val="40"/>
        </w:rPr>
        <w:t>021</w:t>
      </w:r>
      <w:r w:rsidRPr="00603D50">
        <w:rPr>
          <w:rFonts w:ascii="宋体" w:eastAsia="宋体" w:hAnsi="宋体" w:hint="eastAsia"/>
          <w:b/>
          <w:bCs/>
          <w:sz w:val="40"/>
          <w:szCs w:val="40"/>
        </w:rPr>
        <w:t>年优秀论文获奖名单</w:t>
      </w:r>
    </w:p>
    <w:p w14:paraId="2AC5852E" w14:textId="77777777" w:rsidR="00603D50" w:rsidRPr="00603D50" w:rsidRDefault="00603D50" w:rsidP="008D4904">
      <w:pPr>
        <w:jc w:val="center"/>
        <w:rPr>
          <w:rFonts w:ascii="宋体" w:eastAsia="宋体" w:hAnsi="宋体"/>
          <w:b/>
          <w:bCs/>
          <w:sz w:val="40"/>
          <w:szCs w:val="40"/>
        </w:rPr>
      </w:pPr>
    </w:p>
    <w:p w14:paraId="6DF1DA42" w14:textId="5688CAA2" w:rsidR="00EC0A84" w:rsidRPr="008D4904" w:rsidRDefault="00EC0A84">
      <w:pPr>
        <w:rPr>
          <w:rFonts w:ascii="宋体" w:eastAsia="宋体" w:hAnsi="宋体"/>
          <w:b/>
          <w:bCs/>
          <w:sz w:val="28"/>
          <w:szCs w:val="28"/>
        </w:rPr>
      </w:pPr>
      <w:r w:rsidRPr="008D4904">
        <w:rPr>
          <w:rFonts w:ascii="宋体" w:eastAsia="宋体" w:hAnsi="宋体" w:hint="eastAsia"/>
          <w:b/>
          <w:bCs/>
          <w:sz w:val="28"/>
          <w:szCs w:val="28"/>
        </w:rPr>
        <w:t>一等奖（3）</w:t>
      </w:r>
    </w:p>
    <w:tbl>
      <w:tblPr>
        <w:tblW w:w="9067" w:type="dxa"/>
        <w:tblLook w:val="04A0" w:firstRow="1" w:lastRow="0" w:firstColumn="1" w:lastColumn="0" w:noHBand="0" w:noVBand="1"/>
      </w:tblPr>
      <w:tblGrid>
        <w:gridCol w:w="704"/>
        <w:gridCol w:w="4253"/>
        <w:gridCol w:w="2835"/>
        <w:gridCol w:w="1275"/>
      </w:tblGrid>
      <w:tr w:rsidR="008D4904" w:rsidRPr="00EC0A84" w14:paraId="0F167D43" w14:textId="7CA2C314" w:rsidTr="008D4904">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B13E3" w14:textId="77777777" w:rsidR="008D4904" w:rsidRPr="00EC0A84" w:rsidRDefault="008D4904" w:rsidP="008D4904">
            <w:pPr>
              <w:widowControl/>
              <w:jc w:val="center"/>
              <w:rPr>
                <w:rFonts w:ascii="仿宋" w:eastAsia="仿宋" w:hAnsi="仿宋" w:cs="宋体"/>
                <w:b/>
                <w:bCs/>
                <w:color w:val="000000"/>
                <w:kern w:val="0"/>
                <w:sz w:val="22"/>
              </w:rPr>
            </w:pPr>
            <w:r w:rsidRPr="00EC0A84">
              <w:rPr>
                <w:rFonts w:ascii="仿宋" w:eastAsia="仿宋" w:hAnsi="仿宋" w:cs="宋体" w:hint="eastAsia"/>
                <w:b/>
                <w:bCs/>
                <w:color w:val="000000"/>
                <w:kern w:val="0"/>
                <w:sz w:val="22"/>
              </w:rPr>
              <w:t>序号</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E204" w14:textId="77777777" w:rsidR="008D4904" w:rsidRPr="00EC0A84" w:rsidRDefault="008D4904" w:rsidP="008D4904">
            <w:pPr>
              <w:widowControl/>
              <w:jc w:val="center"/>
              <w:rPr>
                <w:rFonts w:ascii="宋体" w:eastAsia="宋体" w:hAnsi="宋体" w:cs="宋体"/>
                <w:b/>
                <w:bCs/>
                <w:color w:val="000000"/>
                <w:kern w:val="0"/>
                <w:sz w:val="22"/>
              </w:rPr>
            </w:pPr>
            <w:r w:rsidRPr="00EC0A84">
              <w:rPr>
                <w:rFonts w:ascii="宋体" w:eastAsia="宋体" w:hAnsi="宋体" w:cs="宋体" w:hint="eastAsia"/>
                <w:b/>
                <w:bCs/>
                <w:color w:val="000000"/>
                <w:kern w:val="0"/>
                <w:sz w:val="22"/>
              </w:rPr>
              <w:t>论文题目</w:t>
            </w:r>
          </w:p>
        </w:tc>
        <w:tc>
          <w:tcPr>
            <w:tcW w:w="2835" w:type="dxa"/>
            <w:tcBorders>
              <w:top w:val="single" w:sz="4" w:space="0" w:color="auto"/>
              <w:left w:val="single" w:sz="4" w:space="0" w:color="auto"/>
              <w:bottom w:val="single" w:sz="4" w:space="0" w:color="auto"/>
              <w:right w:val="single" w:sz="4" w:space="0" w:color="auto"/>
            </w:tcBorders>
            <w:vAlign w:val="center"/>
          </w:tcPr>
          <w:p w14:paraId="53AFBD4F" w14:textId="42116EB4" w:rsidR="008D4904" w:rsidRPr="00EC0A84" w:rsidRDefault="008D4904" w:rsidP="008D4904">
            <w:pPr>
              <w:widowControl/>
              <w:jc w:val="center"/>
              <w:rPr>
                <w:rFonts w:ascii="仿宋" w:eastAsia="仿宋" w:hAnsi="仿宋" w:cs="宋体"/>
                <w:b/>
                <w:bCs/>
                <w:color w:val="000000"/>
                <w:kern w:val="0"/>
                <w:sz w:val="22"/>
              </w:rPr>
            </w:pPr>
            <w:r w:rsidRPr="00EC0A84">
              <w:rPr>
                <w:rFonts w:ascii="仿宋" w:eastAsia="仿宋" w:hAnsi="仿宋" w:cs="宋体" w:hint="eastAsia"/>
                <w:b/>
                <w:bCs/>
                <w:color w:val="000000"/>
                <w:kern w:val="0"/>
                <w:sz w:val="22"/>
              </w:rPr>
              <w:t>作者单位</w:t>
            </w:r>
          </w:p>
        </w:tc>
        <w:tc>
          <w:tcPr>
            <w:tcW w:w="1275" w:type="dxa"/>
            <w:tcBorders>
              <w:top w:val="single" w:sz="4" w:space="0" w:color="auto"/>
              <w:left w:val="single" w:sz="4" w:space="0" w:color="auto"/>
              <w:bottom w:val="single" w:sz="4" w:space="0" w:color="auto"/>
              <w:right w:val="single" w:sz="4" w:space="0" w:color="auto"/>
            </w:tcBorders>
            <w:vAlign w:val="center"/>
          </w:tcPr>
          <w:p w14:paraId="2BCE45E7" w14:textId="00C2FEA5" w:rsidR="008D4904" w:rsidRPr="00EC0A84" w:rsidRDefault="008D4904" w:rsidP="008D4904">
            <w:pPr>
              <w:widowControl/>
              <w:jc w:val="center"/>
              <w:rPr>
                <w:rFonts w:ascii="宋体" w:eastAsia="宋体" w:hAnsi="宋体" w:cs="宋体"/>
                <w:b/>
                <w:bCs/>
                <w:color w:val="000000"/>
                <w:kern w:val="0"/>
                <w:sz w:val="22"/>
              </w:rPr>
            </w:pPr>
            <w:r w:rsidRPr="00EC0A84">
              <w:rPr>
                <w:rFonts w:ascii="仿宋" w:eastAsia="仿宋" w:hAnsi="仿宋" w:cs="宋体" w:hint="eastAsia"/>
                <w:b/>
                <w:bCs/>
                <w:color w:val="000000"/>
                <w:kern w:val="0"/>
                <w:sz w:val="22"/>
              </w:rPr>
              <w:t>第一作者</w:t>
            </w:r>
          </w:p>
        </w:tc>
      </w:tr>
      <w:tr w:rsidR="008D4904" w:rsidRPr="00EC0A84" w14:paraId="61C45380" w14:textId="4F882E00" w:rsidTr="008D4904">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D02397" w14:textId="77777777" w:rsidR="008D4904" w:rsidRPr="00EC0A84" w:rsidRDefault="008D4904" w:rsidP="008D4904">
            <w:pPr>
              <w:widowControl/>
              <w:jc w:val="center"/>
              <w:rPr>
                <w:rFonts w:ascii="仿宋" w:eastAsia="仿宋" w:hAnsi="仿宋" w:cs="宋体"/>
                <w:color w:val="000000"/>
                <w:kern w:val="0"/>
                <w:sz w:val="20"/>
                <w:szCs w:val="20"/>
              </w:rPr>
            </w:pPr>
            <w:r w:rsidRPr="00EC0A84">
              <w:rPr>
                <w:rFonts w:ascii="仿宋" w:eastAsia="仿宋" w:hAnsi="仿宋" w:cs="宋体" w:hint="eastAsia"/>
                <w:color w:val="000000"/>
                <w:kern w:val="0"/>
                <w:sz w:val="20"/>
                <w:szCs w:val="20"/>
              </w:rPr>
              <w:t>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05ACD5" w14:textId="77777777" w:rsidR="008D4904" w:rsidRPr="00EC0A84" w:rsidRDefault="008D4904" w:rsidP="008D4904">
            <w:pPr>
              <w:widowControl/>
              <w:jc w:val="center"/>
              <w:rPr>
                <w:rFonts w:ascii="宋体" w:eastAsia="宋体" w:hAnsi="宋体" w:cs="宋体"/>
                <w:color w:val="000000"/>
                <w:kern w:val="0"/>
                <w:szCs w:val="21"/>
              </w:rPr>
            </w:pPr>
            <w:proofErr w:type="gramStart"/>
            <w:r w:rsidRPr="00EC0A84">
              <w:rPr>
                <w:rFonts w:ascii="宋体" w:eastAsia="宋体" w:hAnsi="宋体" w:cs="宋体" w:hint="eastAsia"/>
                <w:color w:val="000000"/>
                <w:kern w:val="0"/>
                <w:szCs w:val="21"/>
              </w:rPr>
              <w:t>甲泼尼龙</w:t>
            </w:r>
            <w:proofErr w:type="gramEnd"/>
            <w:r w:rsidRPr="00EC0A84">
              <w:rPr>
                <w:rFonts w:ascii="宋体" w:eastAsia="宋体" w:hAnsi="宋体" w:cs="宋体" w:hint="eastAsia"/>
                <w:color w:val="000000"/>
                <w:kern w:val="0"/>
                <w:szCs w:val="21"/>
              </w:rPr>
              <w:t>对高糖腹膜透析液诱导人腹膜间皮细胞表达纤维化相关细胞因子的影响</w:t>
            </w:r>
          </w:p>
        </w:tc>
        <w:tc>
          <w:tcPr>
            <w:tcW w:w="2835" w:type="dxa"/>
            <w:tcBorders>
              <w:top w:val="nil"/>
              <w:left w:val="single" w:sz="4" w:space="0" w:color="auto"/>
              <w:bottom w:val="single" w:sz="4" w:space="0" w:color="auto"/>
              <w:right w:val="single" w:sz="4" w:space="0" w:color="auto"/>
            </w:tcBorders>
            <w:vAlign w:val="center"/>
          </w:tcPr>
          <w:p w14:paraId="12620FEC" w14:textId="31D0D3DF"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中山市中医院</w:t>
            </w:r>
          </w:p>
        </w:tc>
        <w:tc>
          <w:tcPr>
            <w:tcW w:w="1275" w:type="dxa"/>
            <w:tcBorders>
              <w:top w:val="nil"/>
              <w:left w:val="single" w:sz="4" w:space="0" w:color="auto"/>
              <w:bottom w:val="single" w:sz="4" w:space="0" w:color="auto"/>
              <w:right w:val="single" w:sz="4" w:space="0" w:color="auto"/>
            </w:tcBorders>
            <w:vAlign w:val="center"/>
          </w:tcPr>
          <w:p w14:paraId="2B963E96" w14:textId="17FE507A"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蔡家驹</w:t>
            </w:r>
          </w:p>
        </w:tc>
      </w:tr>
      <w:tr w:rsidR="008D4904" w:rsidRPr="00EC0A84" w14:paraId="0D793B06" w14:textId="24B39F7F" w:rsidTr="008D4904">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C43376" w14:textId="4B076ED8" w:rsidR="008D4904" w:rsidRPr="00EC0A84" w:rsidRDefault="008D4904" w:rsidP="008D49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C185B74" w14:textId="77777777" w:rsidR="008D4904" w:rsidRPr="00EC0A84" w:rsidRDefault="008D4904" w:rsidP="008D4904">
            <w:pPr>
              <w:widowControl/>
              <w:jc w:val="center"/>
              <w:rPr>
                <w:rFonts w:ascii="宋体" w:eastAsia="宋体" w:hAnsi="宋体" w:cs="宋体"/>
                <w:color w:val="000000"/>
                <w:kern w:val="0"/>
                <w:szCs w:val="21"/>
              </w:rPr>
            </w:pPr>
            <w:proofErr w:type="gramStart"/>
            <w:r w:rsidRPr="00EC0A84">
              <w:rPr>
                <w:rFonts w:ascii="宋体" w:eastAsia="宋体" w:hAnsi="宋体" w:cs="宋体" w:hint="eastAsia"/>
                <w:color w:val="000000"/>
                <w:kern w:val="0"/>
                <w:szCs w:val="21"/>
              </w:rPr>
              <w:t>毛兰</w:t>
            </w:r>
            <w:proofErr w:type="gramEnd"/>
            <w:r w:rsidRPr="00EC0A84">
              <w:rPr>
                <w:rFonts w:ascii="宋体" w:eastAsia="宋体" w:hAnsi="宋体" w:cs="宋体" w:hint="eastAsia"/>
                <w:color w:val="000000"/>
                <w:kern w:val="0"/>
                <w:szCs w:val="21"/>
              </w:rPr>
              <w:t>素对斑马鱼神经行为的改变研究</w:t>
            </w:r>
          </w:p>
        </w:tc>
        <w:tc>
          <w:tcPr>
            <w:tcW w:w="2835" w:type="dxa"/>
            <w:tcBorders>
              <w:top w:val="nil"/>
              <w:left w:val="single" w:sz="4" w:space="0" w:color="auto"/>
              <w:bottom w:val="single" w:sz="4" w:space="0" w:color="auto"/>
              <w:right w:val="single" w:sz="4" w:space="0" w:color="auto"/>
            </w:tcBorders>
            <w:vAlign w:val="center"/>
          </w:tcPr>
          <w:p w14:paraId="21DA2C09" w14:textId="335CDBBE"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中山火炬职业技术学院</w:t>
            </w:r>
          </w:p>
        </w:tc>
        <w:tc>
          <w:tcPr>
            <w:tcW w:w="1275" w:type="dxa"/>
            <w:tcBorders>
              <w:top w:val="nil"/>
              <w:left w:val="single" w:sz="4" w:space="0" w:color="auto"/>
              <w:bottom w:val="single" w:sz="4" w:space="0" w:color="auto"/>
              <w:right w:val="single" w:sz="4" w:space="0" w:color="auto"/>
            </w:tcBorders>
            <w:vAlign w:val="center"/>
          </w:tcPr>
          <w:p w14:paraId="1B774850" w14:textId="57097BAB"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刘敬</w:t>
            </w:r>
          </w:p>
        </w:tc>
      </w:tr>
      <w:tr w:rsidR="008D4904" w:rsidRPr="00EC0A84" w14:paraId="5E3B084D" w14:textId="3B3F6E8B" w:rsidTr="008D4904">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DA0C66" w14:textId="43401C95" w:rsidR="008D4904" w:rsidRPr="00EC0A84" w:rsidRDefault="008D4904" w:rsidP="008D4904">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E925105" w14:textId="77777777"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藿香正气</w:t>
            </w:r>
            <w:proofErr w:type="gramStart"/>
            <w:r w:rsidRPr="00EC0A84">
              <w:rPr>
                <w:rFonts w:ascii="宋体" w:eastAsia="宋体" w:hAnsi="宋体" w:cs="宋体" w:hint="eastAsia"/>
                <w:color w:val="000000"/>
                <w:kern w:val="0"/>
                <w:szCs w:val="21"/>
              </w:rPr>
              <w:t>口服液对湿困</w:t>
            </w:r>
            <w:proofErr w:type="gramEnd"/>
            <w:r w:rsidRPr="00EC0A84">
              <w:rPr>
                <w:rFonts w:ascii="宋体" w:eastAsia="宋体" w:hAnsi="宋体" w:cs="宋体" w:hint="eastAsia"/>
                <w:color w:val="000000"/>
                <w:kern w:val="0"/>
                <w:szCs w:val="21"/>
              </w:rPr>
              <w:t>脾胃证</w:t>
            </w:r>
            <w:proofErr w:type="gramStart"/>
            <w:r w:rsidRPr="00EC0A84">
              <w:rPr>
                <w:rFonts w:ascii="宋体" w:eastAsia="宋体" w:hAnsi="宋体" w:cs="宋体" w:hint="eastAsia"/>
                <w:color w:val="000000"/>
                <w:kern w:val="0"/>
                <w:szCs w:val="21"/>
              </w:rPr>
              <w:t>大鼠肠屏障</w:t>
            </w:r>
            <w:proofErr w:type="gramEnd"/>
            <w:r w:rsidRPr="00EC0A84">
              <w:rPr>
                <w:rFonts w:ascii="宋体" w:eastAsia="宋体" w:hAnsi="宋体" w:cs="宋体" w:hint="eastAsia"/>
                <w:color w:val="000000"/>
                <w:kern w:val="0"/>
                <w:szCs w:val="21"/>
              </w:rPr>
              <w:t>功能的作用研究</w:t>
            </w:r>
          </w:p>
        </w:tc>
        <w:tc>
          <w:tcPr>
            <w:tcW w:w="2835" w:type="dxa"/>
            <w:tcBorders>
              <w:top w:val="nil"/>
              <w:left w:val="single" w:sz="4" w:space="0" w:color="auto"/>
              <w:bottom w:val="single" w:sz="4" w:space="0" w:color="auto"/>
              <w:right w:val="single" w:sz="4" w:space="0" w:color="auto"/>
            </w:tcBorders>
            <w:vAlign w:val="center"/>
          </w:tcPr>
          <w:p w14:paraId="012D498B" w14:textId="0C66D7AD"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广东药科大学（中山）</w:t>
            </w:r>
          </w:p>
        </w:tc>
        <w:tc>
          <w:tcPr>
            <w:tcW w:w="1275" w:type="dxa"/>
            <w:tcBorders>
              <w:top w:val="nil"/>
              <w:left w:val="single" w:sz="4" w:space="0" w:color="auto"/>
              <w:bottom w:val="single" w:sz="4" w:space="0" w:color="auto"/>
              <w:right w:val="single" w:sz="4" w:space="0" w:color="auto"/>
            </w:tcBorders>
            <w:vAlign w:val="center"/>
          </w:tcPr>
          <w:p w14:paraId="78871B17" w14:textId="49D811BD" w:rsidR="008D4904" w:rsidRPr="00EC0A84" w:rsidRDefault="008D4904" w:rsidP="008D4904">
            <w:pPr>
              <w:widowControl/>
              <w:jc w:val="center"/>
              <w:rPr>
                <w:rFonts w:ascii="宋体" w:eastAsia="宋体" w:hAnsi="宋体" w:cs="宋体"/>
                <w:color w:val="000000"/>
                <w:kern w:val="0"/>
                <w:szCs w:val="21"/>
              </w:rPr>
            </w:pPr>
            <w:r w:rsidRPr="00EC0A84">
              <w:rPr>
                <w:rFonts w:ascii="宋体" w:eastAsia="宋体" w:hAnsi="宋体" w:cs="宋体" w:hint="eastAsia"/>
                <w:color w:val="000000"/>
                <w:kern w:val="0"/>
                <w:szCs w:val="21"/>
              </w:rPr>
              <w:t>黄庆芳</w:t>
            </w:r>
          </w:p>
        </w:tc>
      </w:tr>
    </w:tbl>
    <w:p w14:paraId="68D2B41E" w14:textId="77777777" w:rsidR="008D4904" w:rsidRDefault="008D4904">
      <w:pPr>
        <w:rPr>
          <w:rFonts w:ascii="宋体" w:eastAsia="宋体" w:hAnsi="宋体"/>
          <w:b/>
          <w:bCs/>
          <w:sz w:val="28"/>
          <w:szCs w:val="28"/>
        </w:rPr>
      </w:pPr>
    </w:p>
    <w:p w14:paraId="58D296C5" w14:textId="759178C2" w:rsidR="00EC0A84" w:rsidRPr="008D4904" w:rsidRDefault="008D4904">
      <w:pPr>
        <w:rPr>
          <w:rFonts w:ascii="宋体" w:eastAsia="宋体" w:hAnsi="宋体"/>
          <w:b/>
          <w:bCs/>
          <w:sz w:val="28"/>
          <w:szCs w:val="28"/>
        </w:rPr>
      </w:pPr>
      <w:r w:rsidRPr="008D4904">
        <w:rPr>
          <w:rFonts w:ascii="宋体" w:eastAsia="宋体" w:hAnsi="宋体" w:hint="eastAsia"/>
          <w:b/>
          <w:bCs/>
          <w:sz w:val="28"/>
          <w:szCs w:val="28"/>
        </w:rPr>
        <w:t>二等奖（5）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2410"/>
        <w:gridCol w:w="1275"/>
      </w:tblGrid>
      <w:tr w:rsidR="008D4904" w:rsidRPr="008D4904" w14:paraId="04186D26" w14:textId="77777777" w:rsidTr="008D4904">
        <w:trPr>
          <w:trHeight w:val="600"/>
        </w:trPr>
        <w:tc>
          <w:tcPr>
            <w:tcW w:w="704" w:type="dxa"/>
            <w:shd w:val="clear" w:color="auto" w:fill="auto"/>
            <w:vAlign w:val="center"/>
          </w:tcPr>
          <w:p w14:paraId="70785F08" w14:textId="19E24685" w:rsidR="008D4904" w:rsidRPr="008D4904" w:rsidRDefault="008D4904" w:rsidP="008D4904">
            <w:pPr>
              <w:widowControl/>
              <w:jc w:val="center"/>
              <w:rPr>
                <w:rFonts w:ascii="宋体" w:eastAsia="宋体" w:hAnsi="宋体" w:cs="宋体"/>
                <w:color w:val="000000"/>
                <w:kern w:val="0"/>
                <w:szCs w:val="21"/>
              </w:rPr>
            </w:pPr>
            <w:r w:rsidRPr="00EC0A84">
              <w:rPr>
                <w:rFonts w:ascii="仿宋" w:eastAsia="仿宋" w:hAnsi="仿宋" w:cs="宋体" w:hint="eastAsia"/>
                <w:b/>
                <w:bCs/>
                <w:color w:val="000000"/>
                <w:kern w:val="0"/>
                <w:sz w:val="22"/>
              </w:rPr>
              <w:t>序号</w:t>
            </w:r>
          </w:p>
        </w:tc>
        <w:tc>
          <w:tcPr>
            <w:tcW w:w="4678" w:type="dxa"/>
            <w:vAlign w:val="center"/>
          </w:tcPr>
          <w:p w14:paraId="0E8320E9" w14:textId="614F6761" w:rsidR="008D4904" w:rsidRPr="00EC0A84" w:rsidRDefault="008D4904" w:rsidP="008D4904">
            <w:pPr>
              <w:widowControl/>
              <w:jc w:val="center"/>
              <w:rPr>
                <w:rFonts w:ascii="仿宋" w:eastAsia="仿宋" w:hAnsi="仿宋" w:cs="宋体"/>
                <w:b/>
                <w:bCs/>
                <w:color w:val="000000"/>
                <w:kern w:val="0"/>
                <w:sz w:val="22"/>
              </w:rPr>
            </w:pPr>
            <w:r w:rsidRPr="00EC0A84">
              <w:rPr>
                <w:rFonts w:ascii="宋体" w:eastAsia="宋体" w:hAnsi="宋体" w:cs="宋体" w:hint="eastAsia"/>
                <w:b/>
                <w:bCs/>
                <w:color w:val="000000"/>
                <w:kern w:val="0"/>
                <w:sz w:val="22"/>
              </w:rPr>
              <w:t>论文题目</w:t>
            </w:r>
          </w:p>
        </w:tc>
        <w:tc>
          <w:tcPr>
            <w:tcW w:w="2410" w:type="dxa"/>
            <w:shd w:val="clear" w:color="auto" w:fill="auto"/>
            <w:vAlign w:val="center"/>
          </w:tcPr>
          <w:p w14:paraId="180F6652" w14:textId="4A19179A" w:rsidR="008D4904" w:rsidRPr="008D4904" w:rsidRDefault="008D4904" w:rsidP="008D4904">
            <w:pPr>
              <w:widowControl/>
              <w:jc w:val="center"/>
              <w:rPr>
                <w:rFonts w:ascii="宋体" w:eastAsia="宋体" w:hAnsi="宋体" w:cs="宋体"/>
                <w:color w:val="000000"/>
                <w:kern w:val="0"/>
                <w:szCs w:val="21"/>
              </w:rPr>
            </w:pPr>
            <w:r w:rsidRPr="00EC0A84">
              <w:rPr>
                <w:rFonts w:ascii="仿宋" w:eastAsia="仿宋" w:hAnsi="仿宋" w:cs="宋体" w:hint="eastAsia"/>
                <w:b/>
                <w:bCs/>
                <w:color w:val="000000"/>
                <w:kern w:val="0"/>
                <w:sz w:val="22"/>
              </w:rPr>
              <w:t>作者单位</w:t>
            </w:r>
          </w:p>
        </w:tc>
        <w:tc>
          <w:tcPr>
            <w:tcW w:w="1275" w:type="dxa"/>
            <w:vAlign w:val="center"/>
          </w:tcPr>
          <w:p w14:paraId="49ED4AF8" w14:textId="290354F0" w:rsidR="008D4904" w:rsidRPr="00EC0A84" w:rsidRDefault="008D4904" w:rsidP="008D4904">
            <w:pPr>
              <w:widowControl/>
              <w:jc w:val="center"/>
              <w:rPr>
                <w:rFonts w:ascii="宋体" w:eastAsia="宋体" w:hAnsi="宋体" w:cs="宋体"/>
                <w:b/>
                <w:bCs/>
                <w:color w:val="000000"/>
                <w:kern w:val="0"/>
                <w:sz w:val="22"/>
              </w:rPr>
            </w:pPr>
            <w:r w:rsidRPr="00EC0A84">
              <w:rPr>
                <w:rFonts w:ascii="仿宋" w:eastAsia="仿宋" w:hAnsi="仿宋" w:cs="宋体" w:hint="eastAsia"/>
                <w:b/>
                <w:bCs/>
                <w:color w:val="000000"/>
                <w:kern w:val="0"/>
                <w:sz w:val="22"/>
              </w:rPr>
              <w:t>第一作者</w:t>
            </w:r>
          </w:p>
        </w:tc>
      </w:tr>
      <w:tr w:rsidR="008D4904" w:rsidRPr="008D4904" w14:paraId="45397888" w14:textId="77777777" w:rsidTr="008D4904">
        <w:trPr>
          <w:trHeight w:val="600"/>
        </w:trPr>
        <w:tc>
          <w:tcPr>
            <w:tcW w:w="704" w:type="dxa"/>
            <w:shd w:val="clear" w:color="auto" w:fill="auto"/>
            <w:vAlign w:val="center"/>
            <w:hideMark/>
          </w:tcPr>
          <w:p w14:paraId="33CD36E2" w14:textId="27EBCE6C" w:rsidR="008D4904" w:rsidRPr="008D4904" w:rsidRDefault="008D4904" w:rsidP="008D49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4678" w:type="dxa"/>
            <w:vAlign w:val="center"/>
          </w:tcPr>
          <w:p w14:paraId="1E5AD479" w14:textId="3E3DDD37" w:rsidR="008D4904" w:rsidRPr="008D4904" w:rsidRDefault="008D4904" w:rsidP="008D4904">
            <w:pPr>
              <w:widowControl/>
              <w:jc w:val="center"/>
              <w:rPr>
                <w:rFonts w:ascii="宋体" w:eastAsia="宋体" w:hAnsi="宋体" w:cs="宋体"/>
                <w:color w:val="000000"/>
                <w:kern w:val="0"/>
                <w:szCs w:val="21"/>
              </w:rPr>
            </w:pPr>
            <w:proofErr w:type="spellStart"/>
            <w:r w:rsidRPr="008D4904">
              <w:rPr>
                <w:rFonts w:ascii="宋体" w:eastAsia="宋体" w:hAnsi="宋体" w:cs="宋体" w:hint="eastAsia"/>
                <w:color w:val="000000"/>
                <w:kern w:val="0"/>
                <w:szCs w:val="21"/>
              </w:rPr>
              <w:t>Glycyrrhetinic</w:t>
            </w:r>
            <w:proofErr w:type="spellEnd"/>
            <w:r w:rsidRPr="008D4904">
              <w:rPr>
                <w:rFonts w:ascii="宋体" w:eastAsia="宋体" w:hAnsi="宋体" w:cs="宋体" w:hint="eastAsia"/>
                <w:color w:val="000000"/>
                <w:kern w:val="0"/>
                <w:szCs w:val="21"/>
              </w:rPr>
              <w:t xml:space="preserve"> acid induces oxidative/nitrative stress and drives ferroptosis through activating NADPH oxidases and </w:t>
            </w:r>
            <w:proofErr w:type="spellStart"/>
            <w:r w:rsidRPr="008D4904">
              <w:rPr>
                <w:rFonts w:ascii="宋体" w:eastAsia="宋体" w:hAnsi="宋体" w:cs="宋体" w:hint="eastAsia"/>
                <w:color w:val="000000"/>
                <w:kern w:val="0"/>
                <w:szCs w:val="21"/>
              </w:rPr>
              <w:t>iNOS</w:t>
            </w:r>
            <w:proofErr w:type="spellEnd"/>
            <w:r w:rsidRPr="008D4904">
              <w:rPr>
                <w:rFonts w:ascii="宋体" w:eastAsia="宋体" w:hAnsi="宋体" w:cs="宋体" w:hint="eastAsia"/>
                <w:color w:val="000000"/>
                <w:kern w:val="0"/>
                <w:szCs w:val="21"/>
              </w:rPr>
              <w:t>, and depriving glutathione in triple-negative breast cancer cells</w:t>
            </w:r>
          </w:p>
        </w:tc>
        <w:tc>
          <w:tcPr>
            <w:tcW w:w="2410" w:type="dxa"/>
            <w:shd w:val="clear" w:color="auto" w:fill="auto"/>
            <w:vAlign w:val="center"/>
            <w:hideMark/>
          </w:tcPr>
          <w:p w14:paraId="5E2BF46F" w14:textId="28AF7D38"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中山市人民医院</w:t>
            </w:r>
          </w:p>
        </w:tc>
        <w:tc>
          <w:tcPr>
            <w:tcW w:w="1275" w:type="dxa"/>
            <w:vAlign w:val="center"/>
          </w:tcPr>
          <w:p w14:paraId="581286C4" w14:textId="7FDE4B52"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文毅</w:t>
            </w:r>
          </w:p>
        </w:tc>
      </w:tr>
      <w:tr w:rsidR="008D4904" w:rsidRPr="008D4904" w14:paraId="6310D199" w14:textId="77777777" w:rsidTr="008D4904">
        <w:trPr>
          <w:trHeight w:val="600"/>
        </w:trPr>
        <w:tc>
          <w:tcPr>
            <w:tcW w:w="704" w:type="dxa"/>
            <w:shd w:val="clear" w:color="auto" w:fill="auto"/>
            <w:vAlign w:val="center"/>
            <w:hideMark/>
          </w:tcPr>
          <w:p w14:paraId="48D1E022" w14:textId="574739DF" w:rsidR="008D4904" w:rsidRPr="008D4904" w:rsidRDefault="008D4904" w:rsidP="008D49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4678" w:type="dxa"/>
            <w:vAlign w:val="center"/>
          </w:tcPr>
          <w:p w14:paraId="1BDCA54E" w14:textId="665C4CD0"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蒙特卡洛模拟评价和优化产超广谱β-内酰胺酶大肠埃</w:t>
            </w:r>
            <w:proofErr w:type="gramStart"/>
            <w:r w:rsidRPr="008D4904">
              <w:rPr>
                <w:rFonts w:ascii="宋体" w:eastAsia="宋体" w:hAnsi="宋体" w:cs="宋体" w:hint="eastAsia"/>
                <w:color w:val="000000"/>
                <w:kern w:val="0"/>
                <w:szCs w:val="21"/>
              </w:rPr>
              <w:t>希菌血流感染</w:t>
            </w:r>
            <w:proofErr w:type="gramEnd"/>
            <w:r w:rsidRPr="008D4904">
              <w:rPr>
                <w:rFonts w:ascii="宋体" w:eastAsia="宋体" w:hAnsi="宋体" w:cs="宋体" w:hint="eastAsia"/>
                <w:color w:val="000000"/>
                <w:kern w:val="0"/>
                <w:szCs w:val="21"/>
              </w:rPr>
              <w:t>抗菌药物给药方案</w:t>
            </w:r>
          </w:p>
        </w:tc>
        <w:tc>
          <w:tcPr>
            <w:tcW w:w="2410" w:type="dxa"/>
            <w:shd w:val="clear" w:color="auto" w:fill="auto"/>
            <w:vAlign w:val="center"/>
            <w:hideMark/>
          </w:tcPr>
          <w:p w14:paraId="59D91188" w14:textId="5B9EB86E"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中山市人民医院</w:t>
            </w:r>
          </w:p>
        </w:tc>
        <w:tc>
          <w:tcPr>
            <w:tcW w:w="1275" w:type="dxa"/>
            <w:vAlign w:val="center"/>
          </w:tcPr>
          <w:p w14:paraId="0B4BC30F" w14:textId="0DFC7FF7"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刘峰</w:t>
            </w:r>
          </w:p>
        </w:tc>
      </w:tr>
      <w:tr w:rsidR="008D4904" w:rsidRPr="008D4904" w14:paraId="7A431B93" w14:textId="77777777" w:rsidTr="008D4904">
        <w:trPr>
          <w:trHeight w:val="600"/>
        </w:trPr>
        <w:tc>
          <w:tcPr>
            <w:tcW w:w="704" w:type="dxa"/>
            <w:shd w:val="clear" w:color="auto" w:fill="auto"/>
            <w:vAlign w:val="center"/>
            <w:hideMark/>
          </w:tcPr>
          <w:p w14:paraId="1745BE50" w14:textId="77662E77" w:rsidR="008D4904" w:rsidRPr="008D4904" w:rsidRDefault="008D4904" w:rsidP="008D4904">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p>
        </w:tc>
        <w:tc>
          <w:tcPr>
            <w:tcW w:w="4678" w:type="dxa"/>
            <w:vAlign w:val="center"/>
          </w:tcPr>
          <w:p w14:paraId="74BCAABB" w14:textId="7DFBAC7D"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龙须藤多甲氧基总黄酮对大鼠酒精型胃溃疡的预防作用及机制</w:t>
            </w:r>
          </w:p>
        </w:tc>
        <w:tc>
          <w:tcPr>
            <w:tcW w:w="2410" w:type="dxa"/>
            <w:shd w:val="clear" w:color="auto" w:fill="auto"/>
            <w:vAlign w:val="center"/>
            <w:hideMark/>
          </w:tcPr>
          <w:p w14:paraId="26A58B3D" w14:textId="3407AD3C"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广东药科大学</w:t>
            </w:r>
          </w:p>
        </w:tc>
        <w:tc>
          <w:tcPr>
            <w:tcW w:w="1275" w:type="dxa"/>
            <w:vAlign w:val="center"/>
          </w:tcPr>
          <w:p w14:paraId="73C66634" w14:textId="2AC5E9A5"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 xml:space="preserve">周  </w:t>
            </w:r>
            <w:proofErr w:type="gramStart"/>
            <w:r w:rsidRPr="008D4904">
              <w:rPr>
                <w:rFonts w:ascii="宋体" w:eastAsia="宋体" w:hAnsi="宋体" w:cs="宋体" w:hint="eastAsia"/>
                <w:color w:val="000000"/>
                <w:kern w:val="0"/>
                <w:szCs w:val="21"/>
              </w:rPr>
              <w:t>臻</w:t>
            </w:r>
            <w:proofErr w:type="gramEnd"/>
          </w:p>
        </w:tc>
      </w:tr>
      <w:tr w:rsidR="008D4904" w:rsidRPr="008D4904" w14:paraId="7E20069B" w14:textId="77777777" w:rsidTr="008D4904">
        <w:trPr>
          <w:trHeight w:val="600"/>
        </w:trPr>
        <w:tc>
          <w:tcPr>
            <w:tcW w:w="704" w:type="dxa"/>
            <w:shd w:val="clear" w:color="auto" w:fill="auto"/>
            <w:vAlign w:val="center"/>
            <w:hideMark/>
          </w:tcPr>
          <w:p w14:paraId="7B85CCA3" w14:textId="0A866E6B" w:rsidR="008D4904" w:rsidRPr="008D4904" w:rsidRDefault="008D4904" w:rsidP="008D4904">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p>
        </w:tc>
        <w:tc>
          <w:tcPr>
            <w:tcW w:w="4678" w:type="dxa"/>
            <w:vAlign w:val="center"/>
          </w:tcPr>
          <w:p w14:paraId="5375E705" w14:textId="3B152AF3" w:rsidR="008D4904" w:rsidRPr="008D4904" w:rsidRDefault="008D4904" w:rsidP="008D4904">
            <w:pPr>
              <w:widowControl/>
              <w:jc w:val="center"/>
              <w:rPr>
                <w:rFonts w:ascii="宋体" w:eastAsia="宋体" w:hAnsi="宋体" w:cs="宋体"/>
                <w:color w:val="000000"/>
                <w:kern w:val="0"/>
                <w:szCs w:val="21"/>
              </w:rPr>
            </w:pPr>
            <w:proofErr w:type="gramStart"/>
            <w:r w:rsidRPr="008D4904">
              <w:rPr>
                <w:rFonts w:ascii="宋体" w:eastAsia="宋体" w:hAnsi="宋体" w:cs="宋体" w:hint="eastAsia"/>
                <w:color w:val="000000"/>
                <w:kern w:val="0"/>
                <w:sz w:val="24"/>
                <w:szCs w:val="24"/>
              </w:rPr>
              <w:t>舒脊片对</w:t>
            </w:r>
            <w:proofErr w:type="gramEnd"/>
            <w:r w:rsidRPr="008D4904">
              <w:rPr>
                <w:rFonts w:ascii="宋体" w:eastAsia="宋体" w:hAnsi="宋体" w:cs="宋体" w:hint="eastAsia"/>
                <w:color w:val="000000"/>
                <w:kern w:val="0"/>
                <w:sz w:val="24"/>
                <w:szCs w:val="24"/>
              </w:rPr>
              <w:t>佐剂性关节炎滑膜组织中MyD88、NF-κBp65表达的影响</w:t>
            </w:r>
          </w:p>
        </w:tc>
        <w:tc>
          <w:tcPr>
            <w:tcW w:w="2410" w:type="dxa"/>
            <w:shd w:val="clear" w:color="auto" w:fill="auto"/>
            <w:vAlign w:val="center"/>
            <w:hideMark/>
          </w:tcPr>
          <w:p w14:paraId="7B7037EE" w14:textId="441AD8CA"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中山市中医院</w:t>
            </w:r>
          </w:p>
        </w:tc>
        <w:tc>
          <w:tcPr>
            <w:tcW w:w="1275" w:type="dxa"/>
            <w:vAlign w:val="center"/>
          </w:tcPr>
          <w:p w14:paraId="0150056B" w14:textId="05A11A4A" w:rsidR="008D4904" w:rsidRPr="008D4904" w:rsidRDefault="008D4904" w:rsidP="008D4904">
            <w:pPr>
              <w:widowControl/>
              <w:jc w:val="center"/>
              <w:rPr>
                <w:rFonts w:ascii="宋体" w:eastAsia="宋体" w:hAnsi="宋体" w:cs="宋体"/>
                <w:color w:val="000000"/>
                <w:kern w:val="0"/>
                <w:sz w:val="24"/>
                <w:szCs w:val="24"/>
              </w:rPr>
            </w:pPr>
            <w:r w:rsidRPr="008D4904">
              <w:rPr>
                <w:rFonts w:ascii="宋体" w:eastAsia="宋体" w:hAnsi="宋体" w:cs="宋体" w:hint="eastAsia"/>
                <w:color w:val="000000"/>
                <w:kern w:val="0"/>
                <w:szCs w:val="21"/>
              </w:rPr>
              <w:t>曾聪彦</w:t>
            </w:r>
          </w:p>
        </w:tc>
      </w:tr>
      <w:tr w:rsidR="008D4904" w:rsidRPr="008D4904" w14:paraId="17D0499C" w14:textId="77777777" w:rsidTr="008D4904">
        <w:trPr>
          <w:trHeight w:val="600"/>
        </w:trPr>
        <w:tc>
          <w:tcPr>
            <w:tcW w:w="704" w:type="dxa"/>
            <w:shd w:val="clear" w:color="auto" w:fill="auto"/>
            <w:vAlign w:val="center"/>
            <w:hideMark/>
          </w:tcPr>
          <w:p w14:paraId="2DAA72A1" w14:textId="430B66CE" w:rsidR="008D4904" w:rsidRPr="008D4904" w:rsidRDefault="008D4904" w:rsidP="008D49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4678" w:type="dxa"/>
            <w:vAlign w:val="center"/>
          </w:tcPr>
          <w:p w14:paraId="5F011D2D" w14:textId="361D89B7"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广东省中山市盐酸美沙酮服药人员用药情况分析</w:t>
            </w:r>
          </w:p>
        </w:tc>
        <w:tc>
          <w:tcPr>
            <w:tcW w:w="2410" w:type="dxa"/>
            <w:shd w:val="clear" w:color="auto" w:fill="auto"/>
            <w:vAlign w:val="center"/>
            <w:hideMark/>
          </w:tcPr>
          <w:p w14:paraId="2FADE9B6" w14:textId="51B48516"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中山市第二人民医院</w:t>
            </w:r>
          </w:p>
        </w:tc>
        <w:tc>
          <w:tcPr>
            <w:tcW w:w="1275" w:type="dxa"/>
            <w:vAlign w:val="center"/>
          </w:tcPr>
          <w:p w14:paraId="0F9B39A3" w14:textId="107A36F8" w:rsidR="008D4904" w:rsidRPr="008D4904" w:rsidRDefault="008D4904" w:rsidP="008D4904">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莫国栋</w:t>
            </w:r>
          </w:p>
        </w:tc>
      </w:tr>
    </w:tbl>
    <w:p w14:paraId="00715C7F" w14:textId="5276F04F" w:rsidR="008D4904" w:rsidRDefault="008D4904">
      <w:pPr>
        <w:rPr>
          <w:rFonts w:ascii="宋体" w:eastAsia="宋体" w:hAnsi="宋体"/>
          <w:b/>
          <w:bCs/>
          <w:sz w:val="28"/>
          <w:szCs w:val="28"/>
        </w:rPr>
      </w:pPr>
    </w:p>
    <w:p w14:paraId="37EDF4B2" w14:textId="3ED11D04" w:rsidR="008D4904" w:rsidRDefault="008D4904">
      <w:pPr>
        <w:rPr>
          <w:rFonts w:ascii="宋体" w:eastAsia="宋体" w:hAnsi="宋体"/>
          <w:b/>
          <w:bCs/>
          <w:sz w:val="28"/>
          <w:szCs w:val="28"/>
        </w:rPr>
      </w:pPr>
    </w:p>
    <w:p w14:paraId="7752FFD0" w14:textId="462CB4D7" w:rsidR="008D4904" w:rsidRDefault="008D4904">
      <w:pPr>
        <w:rPr>
          <w:rFonts w:ascii="宋体" w:eastAsia="宋体" w:hAnsi="宋体"/>
          <w:b/>
          <w:bCs/>
          <w:sz w:val="28"/>
          <w:szCs w:val="28"/>
        </w:rPr>
      </w:pPr>
    </w:p>
    <w:p w14:paraId="4B446929" w14:textId="77777777" w:rsidR="008D4904" w:rsidRDefault="008D4904">
      <w:pPr>
        <w:rPr>
          <w:rFonts w:ascii="宋体" w:eastAsia="宋体" w:hAnsi="宋体"/>
          <w:b/>
          <w:bCs/>
          <w:sz w:val="28"/>
          <w:szCs w:val="28"/>
        </w:rPr>
      </w:pPr>
    </w:p>
    <w:p w14:paraId="5605FEC4" w14:textId="24640F78" w:rsidR="008D4904" w:rsidRPr="008D4904" w:rsidRDefault="00603D50">
      <w:pPr>
        <w:rPr>
          <w:rFonts w:ascii="宋体" w:eastAsia="宋体" w:hAnsi="宋体"/>
          <w:b/>
          <w:bCs/>
          <w:sz w:val="28"/>
          <w:szCs w:val="28"/>
        </w:rPr>
      </w:pPr>
      <w:r w:rsidRPr="008D4904">
        <w:rPr>
          <w:rFonts w:ascii="宋体" w:eastAsia="宋体" w:hAnsi="宋体" w:hint="eastAsia"/>
          <w:b/>
          <w:bCs/>
          <w:sz w:val="28"/>
          <w:szCs w:val="28"/>
        </w:rPr>
        <w:lastRenderedPageBreak/>
        <w:t>三等奖（7）</w:t>
      </w:r>
    </w:p>
    <w:tbl>
      <w:tblPr>
        <w:tblpPr w:leftFromText="180" w:rightFromText="180" w:vertAnchor="page" w:horzAnchor="margin" w:tblpY="218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2410"/>
        <w:gridCol w:w="1275"/>
      </w:tblGrid>
      <w:tr w:rsidR="008D4904" w:rsidRPr="008D4904" w14:paraId="6FC5CE24" w14:textId="77777777" w:rsidTr="00603D50">
        <w:trPr>
          <w:trHeight w:val="600"/>
        </w:trPr>
        <w:tc>
          <w:tcPr>
            <w:tcW w:w="704" w:type="dxa"/>
            <w:shd w:val="clear" w:color="auto" w:fill="auto"/>
            <w:vAlign w:val="center"/>
          </w:tcPr>
          <w:p w14:paraId="7AC7125D" w14:textId="5F21370A" w:rsidR="008D4904" w:rsidRPr="008D4904" w:rsidRDefault="008D4904" w:rsidP="00603D50">
            <w:pPr>
              <w:widowControl/>
              <w:jc w:val="center"/>
              <w:rPr>
                <w:rFonts w:ascii="仿宋" w:eastAsia="仿宋" w:hAnsi="仿宋" w:cs="宋体"/>
                <w:color w:val="000000"/>
                <w:kern w:val="0"/>
                <w:sz w:val="20"/>
                <w:szCs w:val="20"/>
              </w:rPr>
            </w:pPr>
            <w:r w:rsidRPr="00EC0A84">
              <w:rPr>
                <w:rFonts w:ascii="仿宋" w:eastAsia="仿宋" w:hAnsi="仿宋" w:cs="宋体" w:hint="eastAsia"/>
                <w:b/>
                <w:bCs/>
                <w:color w:val="000000"/>
                <w:kern w:val="0"/>
                <w:sz w:val="22"/>
              </w:rPr>
              <w:t>序号</w:t>
            </w:r>
          </w:p>
        </w:tc>
        <w:tc>
          <w:tcPr>
            <w:tcW w:w="4678" w:type="dxa"/>
            <w:vAlign w:val="center"/>
          </w:tcPr>
          <w:p w14:paraId="2B6B13F8" w14:textId="79A076D6" w:rsidR="008D4904" w:rsidRPr="00EC0A84" w:rsidRDefault="008D4904" w:rsidP="00603D50">
            <w:pPr>
              <w:widowControl/>
              <w:jc w:val="center"/>
              <w:rPr>
                <w:rFonts w:ascii="仿宋" w:eastAsia="仿宋" w:hAnsi="仿宋" w:cs="宋体"/>
                <w:b/>
                <w:bCs/>
                <w:color w:val="000000"/>
                <w:kern w:val="0"/>
                <w:sz w:val="22"/>
              </w:rPr>
            </w:pPr>
            <w:r w:rsidRPr="00EC0A84">
              <w:rPr>
                <w:rFonts w:ascii="宋体" w:eastAsia="宋体" w:hAnsi="宋体" w:cs="宋体" w:hint="eastAsia"/>
                <w:b/>
                <w:bCs/>
                <w:color w:val="000000"/>
                <w:kern w:val="0"/>
                <w:sz w:val="22"/>
              </w:rPr>
              <w:t>论文题目</w:t>
            </w:r>
          </w:p>
        </w:tc>
        <w:tc>
          <w:tcPr>
            <w:tcW w:w="2410" w:type="dxa"/>
            <w:shd w:val="clear" w:color="auto" w:fill="auto"/>
            <w:vAlign w:val="center"/>
          </w:tcPr>
          <w:p w14:paraId="3C6F1A4D" w14:textId="3E891157" w:rsidR="008D4904" w:rsidRPr="008D4904" w:rsidRDefault="008D4904" w:rsidP="00603D50">
            <w:pPr>
              <w:widowControl/>
              <w:jc w:val="center"/>
              <w:rPr>
                <w:rFonts w:ascii="宋体" w:eastAsia="宋体" w:hAnsi="宋体" w:cs="宋体"/>
                <w:color w:val="000000"/>
                <w:kern w:val="0"/>
                <w:szCs w:val="21"/>
              </w:rPr>
            </w:pPr>
            <w:r w:rsidRPr="00EC0A84">
              <w:rPr>
                <w:rFonts w:ascii="仿宋" w:eastAsia="仿宋" w:hAnsi="仿宋" w:cs="宋体" w:hint="eastAsia"/>
                <w:b/>
                <w:bCs/>
                <w:color w:val="000000"/>
                <w:kern w:val="0"/>
                <w:sz w:val="22"/>
              </w:rPr>
              <w:t>作者单位</w:t>
            </w:r>
          </w:p>
        </w:tc>
        <w:tc>
          <w:tcPr>
            <w:tcW w:w="1275" w:type="dxa"/>
            <w:vAlign w:val="center"/>
          </w:tcPr>
          <w:p w14:paraId="30E71521" w14:textId="630EA73B" w:rsidR="008D4904" w:rsidRPr="00EC0A84" w:rsidRDefault="008D4904" w:rsidP="00603D50">
            <w:pPr>
              <w:widowControl/>
              <w:jc w:val="center"/>
              <w:rPr>
                <w:rFonts w:ascii="宋体" w:eastAsia="宋体" w:hAnsi="宋体" w:cs="宋体"/>
                <w:b/>
                <w:bCs/>
                <w:color w:val="000000"/>
                <w:kern w:val="0"/>
                <w:sz w:val="22"/>
              </w:rPr>
            </w:pPr>
            <w:r w:rsidRPr="00EC0A84">
              <w:rPr>
                <w:rFonts w:ascii="仿宋" w:eastAsia="仿宋" w:hAnsi="仿宋" w:cs="宋体" w:hint="eastAsia"/>
                <w:b/>
                <w:bCs/>
                <w:color w:val="000000"/>
                <w:kern w:val="0"/>
                <w:sz w:val="22"/>
              </w:rPr>
              <w:t>第一作者</w:t>
            </w:r>
          </w:p>
        </w:tc>
      </w:tr>
      <w:tr w:rsidR="008D4904" w:rsidRPr="008D4904" w14:paraId="783C63BD" w14:textId="77777777" w:rsidTr="00603D50">
        <w:trPr>
          <w:trHeight w:val="600"/>
        </w:trPr>
        <w:tc>
          <w:tcPr>
            <w:tcW w:w="704" w:type="dxa"/>
            <w:shd w:val="clear" w:color="auto" w:fill="auto"/>
            <w:vAlign w:val="center"/>
            <w:hideMark/>
          </w:tcPr>
          <w:p w14:paraId="299BD124" w14:textId="6B30EFE5" w:rsidR="008D4904" w:rsidRPr="008D4904" w:rsidRDefault="008D4904" w:rsidP="00603D5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4678" w:type="dxa"/>
            <w:vAlign w:val="center"/>
          </w:tcPr>
          <w:p w14:paraId="3604113E" w14:textId="1BFBD8B8"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基层医院1268例患者鼻饲给药合理性调查分析</w:t>
            </w:r>
          </w:p>
        </w:tc>
        <w:tc>
          <w:tcPr>
            <w:tcW w:w="2410" w:type="dxa"/>
            <w:shd w:val="clear" w:color="auto" w:fill="auto"/>
            <w:vAlign w:val="center"/>
            <w:hideMark/>
          </w:tcPr>
          <w:p w14:paraId="4498425E" w14:textId="45E9D102"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中山市小</w:t>
            </w:r>
            <w:proofErr w:type="gramStart"/>
            <w:r w:rsidRPr="008D4904">
              <w:rPr>
                <w:rFonts w:ascii="宋体" w:eastAsia="宋体" w:hAnsi="宋体" w:cs="宋体" w:hint="eastAsia"/>
                <w:color w:val="000000"/>
                <w:kern w:val="0"/>
                <w:szCs w:val="21"/>
              </w:rPr>
              <w:t>榄</w:t>
            </w:r>
            <w:proofErr w:type="gramEnd"/>
            <w:r w:rsidRPr="008D4904">
              <w:rPr>
                <w:rFonts w:ascii="宋体" w:eastAsia="宋体" w:hAnsi="宋体" w:cs="宋体" w:hint="eastAsia"/>
                <w:color w:val="000000"/>
                <w:kern w:val="0"/>
                <w:szCs w:val="21"/>
              </w:rPr>
              <w:t>人民医院</w:t>
            </w:r>
          </w:p>
        </w:tc>
        <w:tc>
          <w:tcPr>
            <w:tcW w:w="1275" w:type="dxa"/>
            <w:vAlign w:val="center"/>
          </w:tcPr>
          <w:p w14:paraId="3D7CAC4B" w14:textId="44327E84"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欧焕娇</w:t>
            </w:r>
          </w:p>
        </w:tc>
      </w:tr>
      <w:tr w:rsidR="008D4904" w:rsidRPr="008D4904" w14:paraId="52D79423" w14:textId="77777777" w:rsidTr="00603D50">
        <w:trPr>
          <w:trHeight w:val="600"/>
        </w:trPr>
        <w:tc>
          <w:tcPr>
            <w:tcW w:w="704" w:type="dxa"/>
            <w:shd w:val="clear" w:color="auto" w:fill="auto"/>
            <w:vAlign w:val="center"/>
            <w:hideMark/>
          </w:tcPr>
          <w:p w14:paraId="3FCB4B23" w14:textId="6B2C290F" w:rsidR="008D4904" w:rsidRPr="008D4904" w:rsidRDefault="008D4904" w:rsidP="00603D5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p>
        </w:tc>
        <w:tc>
          <w:tcPr>
            <w:tcW w:w="4678" w:type="dxa"/>
            <w:vAlign w:val="center"/>
          </w:tcPr>
          <w:p w14:paraId="5522241C" w14:textId="27B5D0C1"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基于加权TOPSIS法的注射用</w:t>
            </w:r>
            <w:proofErr w:type="gramStart"/>
            <w:r w:rsidRPr="008D4904">
              <w:rPr>
                <w:rFonts w:ascii="宋体" w:eastAsia="宋体" w:hAnsi="宋体" w:cs="宋体" w:hint="eastAsia"/>
                <w:color w:val="000000"/>
                <w:kern w:val="0"/>
                <w:szCs w:val="21"/>
              </w:rPr>
              <w:t>哌</w:t>
            </w:r>
            <w:proofErr w:type="gramEnd"/>
            <w:r w:rsidRPr="008D4904">
              <w:rPr>
                <w:rFonts w:ascii="宋体" w:eastAsia="宋体" w:hAnsi="宋体" w:cs="宋体" w:hint="eastAsia"/>
                <w:color w:val="000000"/>
                <w:kern w:val="0"/>
                <w:szCs w:val="21"/>
              </w:rPr>
              <w:t>拉西林钠他</w:t>
            </w:r>
            <w:proofErr w:type="gramStart"/>
            <w:r w:rsidRPr="008D4904">
              <w:rPr>
                <w:rFonts w:ascii="宋体" w:eastAsia="宋体" w:hAnsi="宋体" w:cs="宋体" w:hint="eastAsia"/>
                <w:color w:val="000000"/>
                <w:kern w:val="0"/>
                <w:szCs w:val="21"/>
              </w:rPr>
              <w:t>唑巴坦钠药物利用评价</w:t>
            </w:r>
            <w:proofErr w:type="gramEnd"/>
          </w:p>
        </w:tc>
        <w:tc>
          <w:tcPr>
            <w:tcW w:w="2410" w:type="dxa"/>
            <w:shd w:val="clear" w:color="auto" w:fill="auto"/>
            <w:vAlign w:val="center"/>
            <w:hideMark/>
          </w:tcPr>
          <w:p w14:paraId="4189BC89" w14:textId="5516575B"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中山市人民医院</w:t>
            </w:r>
          </w:p>
        </w:tc>
        <w:tc>
          <w:tcPr>
            <w:tcW w:w="1275" w:type="dxa"/>
            <w:vAlign w:val="center"/>
          </w:tcPr>
          <w:p w14:paraId="2D94F398" w14:textId="602C5FFF"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王桂凤</w:t>
            </w:r>
          </w:p>
        </w:tc>
      </w:tr>
      <w:tr w:rsidR="008D4904" w:rsidRPr="008D4904" w14:paraId="273DB1FB" w14:textId="77777777" w:rsidTr="00603D50">
        <w:trPr>
          <w:trHeight w:val="600"/>
        </w:trPr>
        <w:tc>
          <w:tcPr>
            <w:tcW w:w="704" w:type="dxa"/>
            <w:shd w:val="clear" w:color="auto" w:fill="auto"/>
            <w:vAlign w:val="center"/>
            <w:hideMark/>
          </w:tcPr>
          <w:p w14:paraId="335AE7CB" w14:textId="06DBD05F" w:rsidR="008D4904" w:rsidRPr="008D4904" w:rsidRDefault="008D4904" w:rsidP="00603D5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4678" w:type="dxa"/>
            <w:vAlign w:val="center"/>
          </w:tcPr>
          <w:p w14:paraId="62AD8AA3" w14:textId="051641A7"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梨</w:t>
            </w:r>
            <w:proofErr w:type="gramStart"/>
            <w:r w:rsidRPr="008D4904">
              <w:rPr>
                <w:rFonts w:ascii="宋体" w:eastAsia="宋体" w:hAnsi="宋体" w:cs="宋体" w:hint="eastAsia"/>
                <w:color w:val="000000"/>
                <w:kern w:val="0"/>
                <w:szCs w:val="21"/>
              </w:rPr>
              <w:t>杷</w:t>
            </w:r>
            <w:proofErr w:type="gramEnd"/>
            <w:r w:rsidRPr="008D4904">
              <w:rPr>
                <w:rFonts w:ascii="宋体" w:eastAsia="宋体" w:hAnsi="宋体" w:cs="宋体" w:hint="eastAsia"/>
                <w:color w:val="000000"/>
                <w:kern w:val="0"/>
                <w:szCs w:val="21"/>
              </w:rPr>
              <w:t>止咳合剂质量标准研究</w:t>
            </w:r>
          </w:p>
        </w:tc>
        <w:tc>
          <w:tcPr>
            <w:tcW w:w="2410" w:type="dxa"/>
            <w:shd w:val="clear" w:color="auto" w:fill="auto"/>
            <w:vAlign w:val="center"/>
            <w:hideMark/>
          </w:tcPr>
          <w:p w14:paraId="2E3499F8" w14:textId="19D02F26"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中山市人民医院</w:t>
            </w:r>
          </w:p>
        </w:tc>
        <w:tc>
          <w:tcPr>
            <w:tcW w:w="1275" w:type="dxa"/>
            <w:vAlign w:val="center"/>
          </w:tcPr>
          <w:p w14:paraId="4E2C6589" w14:textId="216BB5DF" w:rsidR="008D4904" w:rsidRPr="008D4904" w:rsidRDefault="008D4904" w:rsidP="00603D50">
            <w:pPr>
              <w:widowControl/>
              <w:jc w:val="center"/>
              <w:rPr>
                <w:rFonts w:ascii="宋体" w:eastAsia="宋体" w:hAnsi="宋体" w:cs="宋体"/>
                <w:color w:val="000000"/>
                <w:kern w:val="0"/>
                <w:szCs w:val="21"/>
              </w:rPr>
            </w:pPr>
            <w:proofErr w:type="gramStart"/>
            <w:r w:rsidRPr="008D4904">
              <w:rPr>
                <w:rFonts w:ascii="宋体" w:eastAsia="宋体" w:hAnsi="宋体" w:cs="宋体" w:hint="eastAsia"/>
                <w:color w:val="000000"/>
                <w:kern w:val="0"/>
                <w:szCs w:val="21"/>
              </w:rPr>
              <w:t>符冰</w:t>
            </w:r>
            <w:proofErr w:type="gramEnd"/>
          </w:p>
        </w:tc>
      </w:tr>
      <w:tr w:rsidR="008D4904" w:rsidRPr="008D4904" w14:paraId="39D42553" w14:textId="77777777" w:rsidTr="00603D50">
        <w:trPr>
          <w:trHeight w:val="600"/>
        </w:trPr>
        <w:tc>
          <w:tcPr>
            <w:tcW w:w="704" w:type="dxa"/>
            <w:shd w:val="clear" w:color="auto" w:fill="auto"/>
            <w:vAlign w:val="center"/>
            <w:hideMark/>
          </w:tcPr>
          <w:p w14:paraId="04E1A070" w14:textId="1F63DBA9" w:rsidR="008D4904" w:rsidRPr="008D4904" w:rsidRDefault="008D4904" w:rsidP="00603D50">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p>
        </w:tc>
        <w:tc>
          <w:tcPr>
            <w:tcW w:w="4678" w:type="dxa"/>
            <w:vAlign w:val="center"/>
          </w:tcPr>
          <w:p w14:paraId="10F07C9F" w14:textId="41E1465C"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146例精神分裂症出院患者药物使用情况</w:t>
            </w:r>
          </w:p>
        </w:tc>
        <w:tc>
          <w:tcPr>
            <w:tcW w:w="2410" w:type="dxa"/>
            <w:shd w:val="clear" w:color="auto" w:fill="auto"/>
            <w:vAlign w:val="center"/>
            <w:hideMark/>
          </w:tcPr>
          <w:p w14:paraId="1AA36986" w14:textId="36AC7425"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中山市第三人民医院</w:t>
            </w:r>
          </w:p>
        </w:tc>
        <w:tc>
          <w:tcPr>
            <w:tcW w:w="1275" w:type="dxa"/>
            <w:vAlign w:val="center"/>
          </w:tcPr>
          <w:p w14:paraId="6ED1686D" w14:textId="3C2CE5A2" w:rsidR="008D4904" w:rsidRPr="008D4904" w:rsidRDefault="008D4904" w:rsidP="00603D50">
            <w:pPr>
              <w:widowControl/>
              <w:jc w:val="center"/>
              <w:rPr>
                <w:rFonts w:ascii="宋体" w:eastAsia="宋体" w:hAnsi="宋体" w:cs="宋体"/>
                <w:color w:val="000000"/>
                <w:kern w:val="0"/>
                <w:szCs w:val="21"/>
              </w:rPr>
            </w:pPr>
            <w:proofErr w:type="gramStart"/>
            <w:r w:rsidRPr="008D4904">
              <w:rPr>
                <w:rFonts w:ascii="宋体" w:eastAsia="宋体" w:hAnsi="宋体" w:cs="宋体" w:hint="eastAsia"/>
                <w:color w:val="000000"/>
                <w:kern w:val="0"/>
                <w:szCs w:val="21"/>
              </w:rPr>
              <w:t>梁灵君</w:t>
            </w:r>
            <w:proofErr w:type="gramEnd"/>
          </w:p>
        </w:tc>
      </w:tr>
      <w:tr w:rsidR="008D4904" w:rsidRPr="008D4904" w14:paraId="67EA99A6" w14:textId="77777777" w:rsidTr="00603D50">
        <w:trPr>
          <w:trHeight w:val="600"/>
        </w:trPr>
        <w:tc>
          <w:tcPr>
            <w:tcW w:w="704" w:type="dxa"/>
            <w:shd w:val="clear" w:color="auto" w:fill="auto"/>
            <w:vAlign w:val="center"/>
            <w:hideMark/>
          </w:tcPr>
          <w:p w14:paraId="1B983D62" w14:textId="3BC1AFA3" w:rsidR="008D4904" w:rsidRPr="008D4904" w:rsidRDefault="008D4904" w:rsidP="00603D5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4678" w:type="dxa"/>
            <w:vAlign w:val="center"/>
          </w:tcPr>
          <w:p w14:paraId="404696E2" w14:textId="7A551514" w:rsidR="008D4904" w:rsidRPr="008D4904" w:rsidRDefault="008D4904" w:rsidP="00603D50">
            <w:pPr>
              <w:widowControl/>
              <w:jc w:val="center"/>
              <w:rPr>
                <w:rFonts w:ascii="宋体" w:eastAsia="宋体" w:hAnsi="宋体" w:cs="宋体"/>
                <w:color w:val="000000"/>
                <w:kern w:val="0"/>
                <w:szCs w:val="21"/>
              </w:rPr>
            </w:pPr>
            <w:bookmarkStart w:id="0" w:name="RANGE!D16"/>
            <w:r w:rsidRPr="008D4904">
              <w:rPr>
                <w:rFonts w:ascii="宋体" w:eastAsia="宋体" w:hAnsi="宋体" w:cs="宋体" w:hint="eastAsia"/>
                <w:color w:val="000000"/>
                <w:kern w:val="0"/>
                <w:szCs w:val="21"/>
              </w:rPr>
              <w:t>归</w:t>
            </w:r>
            <w:proofErr w:type="gramStart"/>
            <w:r w:rsidRPr="008D4904">
              <w:rPr>
                <w:rFonts w:ascii="宋体" w:eastAsia="宋体" w:hAnsi="宋体" w:cs="宋体" w:hint="eastAsia"/>
                <w:color w:val="000000"/>
                <w:kern w:val="0"/>
                <w:szCs w:val="21"/>
              </w:rPr>
              <w:t>秦康骨</w:t>
            </w:r>
            <w:proofErr w:type="gramEnd"/>
            <w:r w:rsidRPr="008D4904">
              <w:rPr>
                <w:rFonts w:ascii="宋体" w:eastAsia="宋体" w:hAnsi="宋体" w:cs="宋体" w:hint="eastAsia"/>
                <w:color w:val="000000"/>
                <w:kern w:val="0"/>
                <w:szCs w:val="21"/>
              </w:rPr>
              <w:t>胶囊的稳定性研究</w:t>
            </w:r>
            <w:bookmarkEnd w:id="0"/>
          </w:p>
        </w:tc>
        <w:tc>
          <w:tcPr>
            <w:tcW w:w="2410" w:type="dxa"/>
            <w:shd w:val="clear" w:color="auto" w:fill="auto"/>
            <w:vAlign w:val="center"/>
            <w:hideMark/>
          </w:tcPr>
          <w:p w14:paraId="1922D779" w14:textId="74E996AE"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中山市黄圃人民医院</w:t>
            </w:r>
          </w:p>
        </w:tc>
        <w:tc>
          <w:tcPr>
            <w:tcW w:w="1275" w:type="dxa"/>
            <w:vAlign w:val="center"/>
          </w:tcPr>
          <w:p w14:paraId="0073B7F4" w14:textId="2172457B"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侯伟元</w:t>
            </w:r>
          </w:p>
        </w:tc>
      </w:tr>
      <w:tr w:rsidR="008D4904" w:rsidRPr="008D4904" w14:paraId="7C9BBF70" w14:textId="77777777" w:rsidTr="00603D50">
        <w:trPr>
          <w:trHeight w:val="600"/>
        </w:trPr>
        <w:tc>
          <w:tcPr>
            <w:tcW w:w="704" w:type="dxa"/>
            <w:shd w:val="clear" w:color="auto" w:fill="auto"/>
            <w:vAlign w:val="center"/>
            <w:hideMark/>
          </w:tcPr>
          <w:p w14:paraId="2E155E48" w14:textId="316DFD1A" w:rsidR="008D4904" w:rsidRPr="008D4904" w:rsidRDefault="008D4904" w:rsidP="00603D5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4678" w:type="dxa"/>
            <w:vAlign w:val="center"/>
          </w:tcPr>
          <w:p w14:paraId="68C22D1E" w14:textId="2D16A26B"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 xml:space="preserve"> HPLC法测定含对乙酰氨基</w:t>
            </w:r>
            <w:proofErr w:type="gramStart"/>
            <w:r w:rsidRPr="008D4904">
              <w:rPr>
                <w:rFonts w:ascii="宋体" w:eastAsia="宋体" w:hAnsi="宋体" w:cs="宋体" w:hint="eastAsia"/>
                <w:color w:val="000000"/>
                <w:kern w:val="0"/>
                <w:szCs w:val="21"/>
              </w:rPr>
              <w:t>酚</w:t>
            </w:r>
            <w:proofErr w:type="gramEnd"/>
            <w:r w:rsidRPr="008D4904">
              <w:rPr>
                <w:rFonts w:ascii="宋体" w:eastAsia="宋体" w:hAnsi="宋体" w:cs="宋体" w:hint="eastAsia"/>
                <w:color w:val="000000"/>
                <w:kern w:val="0"/>
                <w:szCs w:val="21"/>
              </w:rPr>
              <w:t>、氢溴酸</w:t>
            </w:r>
            <w:proofErr w:type="gramStart"/>
            <w:r w:rsidRPr="008D4904">
              <w:rPr>
                <w:rFonts w:ascii="宋体" w:eastAsia="宋体" w:hAnsi="宋体" w:cs="宋体" w:hint="eastAsia"/>
                <w:color w:val="000000"/>
                <w:kern w:val="0"/>
                <w:szCs w:val="21"/>
              </w:rPr>
              <w:t>右美沙芬</w:t>
            </w:r>
            <w:proofErr w:type="gramEnd"/>
            <w:r w:rsidRPr="008D4904">
              <w:rPr>
                <w:rFonts w:ascii="宋体" w:eastAsia="宋体" w:hAnsi="宋体" w:cs="宋体" w:hint="eastAsia"/>
                <w:color w:val="000000"/>
                <w:kern w:val="0"/>
                <w:szCs w:val="21"/>
              </w:rPr>
              <w:t>和盐酸去氧肾上腺素的软胶囊有关物质</w:t>
            </w:r>
          </w:p>
        </w:tc>
        <w:tc>
          <w:tcPr>
            <w:tcW w:w="2410" w:type="dxa"/>
            <w:shd w:val="clear" w:color="auto" w:fill="auto"/>
            <w:vAlign w:val="center"/>
            <w:hideMark/>
          </w:tcPr>
          <w:p w14:paraId="09288FD8" w14:textId="6F1737BC"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安士制药（中山）有限公司</w:t>
            </w:r>
          </w:p>
        </w:tc>
        <w:tc>
          <w:tcPr>
            <w:tcW w:w="1275" w:type="dxa"/>
            <w:vAlign w:val="center"/>
          </w:tcPr>
          <w:p w14:paraId="1C2D48C9" w14:textId="37E03A0E"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邱科先</w:t>
            </w:r>
          </w:p>
        </w:tc>
      </w:tr>
      <w:tr w:rsidR="008D4904" w:rsidRPr="008D4904" w14:paraId="187DDB3E" w14:textId="77777777" w:rsidTr="00603D50">
        <w:trPr>
          <w:trHeight w:val="600"/>
        </w:trPr>
        <w:tc>
          <w:tcPr>
            <w:tcW w:w="704" w:type="dxa"/>
            <w:shd w:val="clear" w:color="auto" w:fill="auto"/>
            <w:vAlign w:val="center"/>
            <w:hideMark/>
          </w:tcPr>
          <w:p w14:paraId="7E0C316E" w14:textId="3152D9B6" w:rsidR="008D4904" w:rsidRPr="008D4904" w:rsidRDefault="008D4904" w:rsidP="00603D5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4678" w:type="dxa"/>
            <w:vAlign w:val="center"/>
          </w:tcPr>
          <w:p w14:paraId="3495D5EA" w14:textId="5861A9FA"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梨</w:t>
            </w:r>
            <w:proofErr w:type="gramStart"/>
            <w:r w:rsidRPr="008D4904">
              <w:rPr>
                <w:rFonts w:ascii="宋体" w:eastAsia="宋体" w:hAnsi="宋体" w:cs="宋体" w:hint="eastAsia"/>
                <w:color w:val="000000"/>
                <w:kern w:val="0"/>
                <w:szCs w:val="21"/>
              </w:rPr>
              <w:t>杷</w:t>
            </w:r>
            <w:proofErr w:type="gramEnd"/>
            <w:r w:rsidRPr="008D4904">
              <w:rPr>
                <w:rFonts w:ascii="宋体" w:eastAsia="宋体" w:hAnsi="宋体" w:cs="宋体" w:hint="eastAsia"/>
                <w:color w:val="000000"/>
                <w:kern w:val="0"/>
                <w:szCs w:val="21"/>
              </w:rPr>
              <w:t>止咳合剂药效学研究</w:t>
            </w:r>
          </w:p>
        </w:tc>
        <w:tc>
          <w:tcPr>
            <w:tcW w:w="2410" w:type="dxa"/>
            <w:shd w:val="clear" w:color="auto" w:fill="auto"/>
            <w:vAlign w:val="center"/>
            <w:hideMark/>
          </w:tcPr>
          <w:p w14:paraId="5D43D2BE" w14:textId="7C49C19E" w:rsidR="008D4904" w:rsidRPr="008D4904" w:rsidRDefault="008D4904" w:rsidP="00603D50">
            <w:pPr>
              <w:widowControl/>
              <w:jc w:val="center"/>
              <w:rPr>
                <w:rFonts w:ascii="宋体" w:eastAsia="宋体" w:hAnsi="宋体" w:cs="宋体"/>
                <w:color w:val="000000"/>
                <w:kern w:val="0"/>
                <w:szCs w:val="21"/>
              </w:rPr>
            </w:pPr>
            <w:r w:rsidRPr="008D4904">
              <w:rPr>
                <w:rFonts w:ascii="宋体" w:eastAsia="宋体" w:hAnsi="宋体" w:cs="宋体" w:hint="eastAsia"/>
                <w:color w:val="000000"/>
                <w:kern w:val="0"/>
                <w:szCs w:val="21"/>
              </w:rPr>
              <w:t>中山市人民医院</w:t>
            </w:r>
          </w:p>
        </w:tc>
        <w:tc>
          <w:tcPr>
            <w:tcW w:w="1275" w:type="dxa"/>
            <w:vAlign w:val="center"/>
          </w:tcPr>
          <w:p w14:paraId="1A05B205" w14:textId="301FF1AB" w:rsidR="008D4904" w:rsidRPr="008D4904" w:rsidRDefault="008D4904" w:rsidP="00603D50">
            <w:pPr>
              <w:widowControl/>
              <w:jc w:val="center"/>
              <w:rPr>
                <w:rFonts w:ascii="宋体" w:eastAsia="宋体" w:hAnsi="宋体" w:cs="宋体"/>
                <w:color w:val="000000"/>
                <w:kern w:val="0"/>
                <w:szCs w:val="21"/>
              </w:rPr>
            </w:pPr>
            <w:proofErr w:type="gramStart"/>
            <w:r w:rsidRPr="008D4904">
              <w:rPr>
                <w:rFonts w:ascii="宋体" w:eastAsia="宋体" w:hAnsi="宋体" w:cs="宋体" w:hint="eastAsia"/>
                <w:color w:val="000000"/>
                <w:kern w:val="0"/>
                <w:szCs w:val="21"/>
              </w:rPr>
              <w:t>符冰</w:t>
            </w:r>
            <w:proofErr w:type="gramEnd"/>
          </w:p>
        </w:tc>
      </w:tr>
    </w:tbl>
    <w:p w14:paraId="6D6396B9" w14:textId="77777777" w:rsidR="008D4904" w:rsidRPr="008D4904" w:rsidRDefault="008D4904"/>
    <w:sectPr w:rsidR="008D4904" w:rsidRPr="008D4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AF38" w14:textId="77777777" w:rsidR="002B2509" w:rsidRDefault="002B2509" w:rsidP="006B0A16">
      <w:r>
        <w:separator/>
      </w:r>
    </w:p>
  </w:endnote>
  <w:endnote w:type="continuationSeparator" w:id="0">
    <w:p w14:paraId="56EC09F2" w14:textId="77777777" w:rsidR="002B2509" w:rsidRDefault="002B2509" w:rsidP="006B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036D" w14:textId="77777777" w:rsidR="002B2509" w:rsidRDefault="002B2509" w:rsidP="006B0A16">
      <w:r>
        <w:separator/>
      </w:r>
    </w:p>
  </w:footnote>
  <w:footnote w:type="continuationSeparator" w:id="0">
    <w:p w14:paraId="74F9793E" w14:textId="77777777" w:rsidR="002B2509" w:rsidRDefault="002B2509" w:rsidP="006B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79"/>
    <w:rsid w:val="002B2509"/>
    <w:rsid w:val="004C27DC"/>
    <w:rsid w:val="00603D50"/>
    <w:rsid w:val="006B0A16"/>
    <w:rsid w:val="008D4904"/>
    <w:rsid w:val="00BC1CB8"/>
    <w:rsid w:val="00E96479"/>
    <w:rsid w:val="00EC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38CB"/>
  <w15:chartTrackingRefBased/>
  <w15:docId w15:val="{C7EF5E36-2A03-453A-B13C-E1D31EE5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0A84"/>
    <w:pPr>
      <w:ind w:leftChars="2500" w:left="100"/>
    </w:pPr>
  </w:style>
  <w:style w:type="character" w:customStyle="1" w:styleId="a4">
    <w:name w:val="日期 字符"/>
    <w:basedOn w:val="a0"/>
    <w:link w:val="a3"/>
    <w:uiPriority w:val="99"/>
    <w:semiHidden/>
    <w:rsid w:val="00EC0A84"/>
  </w:style>
  <w:style w:type="paragraph" w:styleId="a5">
    <w:name w:val="header"/>
    <w:basedOn w:val="a"/>
    <w:link w:val="a6"/>
    <w:uiPriority w:val="99"/>
    <w:unhideWhenUsed/>
    <w:rsid w:val="006B0A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0A16"/>
    <w:rPr>
      <w:sz w:val="18"/>
      <w:szCs w:val="18"/>
    </w:rPr>
  </w:style>
  <w:style w:type="paragraph" w:styleId="a7">
    <w:name w:val="footer"/>
    <w:basedOn w:val="a"/>
    <w:link w:val="a8"/>
    <w:uiPriority w:val="99"/>
    <w:unhideWhenUsed/>
    <w:rsid w:val="006B0A16"/>
    <w:pPr>
      <w:tabs>
        <w:tab w:val="center" w:pos="4153"/>
        <w:tab w:val="right" w:pos="8306"/>
      </w:tabs>
      <w:snapToGrid w:val="0"/>
      <w:jc w:val="left"/>
    </w:pPr>
    <w:rPr>
      <w:sz w:val="18"/>
      <w:szCs w:val="18"/>
    </w:rPr>
  </w:style>
  <w:style w:type="character" w:customStyle="1" w:styleId="a8">
    <w:name w:val="页脚 字符"/>
    <w:basedOn w:val="a0"/>
    <w:link w:val="a7"/>
    <w:uiPriority w:val="99"/>
    <w:rsid w:val="006B0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0975">
      <w:bodyDiv w:val="1"/>
      <w:marLeft w:val="0"/>
      <w:marRight w:val="0"/>
      <w:marTop w:val="0"/>
      <w:marBottom w:val="0"/>
      <w:divBdr>
        <w:top w:val="none" w:sz="0" w:space="0" w:color="auto"/>
        <w:left w:val="none" w:sz="0" w:space="0" w:color="auto"/>
        <w:bottom w:val="none" w:sz="0" w:space="0" w:color="auto"/>
        <w:right w:val="none" w:sz="0" w:space="0" w:color="auto"/>
      </w:divBdr>
    </w:div>
    <w:div w:id="1558777564">
      <w:bodyDiv w:val="1"/>
      <w:marLeft w:val="0"/>
      <w:marRight w:val="0"/>
      <w:marTop w:val="0"/>
      <w:marBottom w:val="0"/>
      <w:divBdr>
        <w:top w:val="none" w:sz="0" w:space="0" w:color="auto"/>
        <w:left w:val="none" w:sz="0" w:space="0" w:color="auto"/>
        <w:bottom w:val="none" w:sz="0" w:space="0" w:color="auto"/>
        <w:right w:val="none" w:sz="0" w:space="0" w:color="auto"/>
      </w:divBdr>
    </w:div>
    <w:div w:id="16373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 雪梅</dc:creator>
  <cp:keywords/>
  <dc:description/>
  <cp:lastModifiedBy>鲁 雪梅</cp:lastModifiedBy>
  <cp:revision>2</cp:revision>
  <dcterms:created xsi:type="dcterms:W3CDTF">2021-11-30T11:44:00Z</dcterms:created>
  <dcterms:modified xsi:type="dcterms:W3CDTF">2021-11-30T11:44:00Z</dcterms:modified>
</cp:coreProperties>
</file>