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60" w:lineRule="exact"/>
        <w:ind w:firstLine="643" w:firstLineChars="200"/>
        <w:rPr>
          <w:rFonts w:ascii="黑体" w:hAnsi="宋体" w:eastAsia="黑体"/>
          <w:b/>
          <w:color w:val="00000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六、</w:t>
      </w:r>
      <w:bookmarkStart w:id="0" w:name="_GoBack"/>
      <w:r>
        <w:rPr>
          <w:rFonts w:hint="eastAsia" w:ascii="黑体" w:hAnsi="宋体" w:eastAsia="黑体"/>
          <w:color w:val="000000"/>
          <w:sz w:val="32"/>
          <w:szCs w:val="32"/>
        </w:rPr>
        <w:t>优秀组织奖</w:t>
      </w:r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（</w:t>
      </w:r>
      <w:r>
        <w:rPr>
          <w:rFonts w:ascii="黑体" w:hAnsi="宋体" w:eastAsia="黑体"/>
          <w:color w:val="000000"/>
          <w:sz w:val="32"/>
          <w:szCs w:val="32"/>
        </w:rPr>
        <w:t>33</w:t>
      </w:r>
      <w:r>
        <w:rPr>
          <w:rFonts w:hint="eastAsia" w:ascii="黑体" w:hAnsi="宋体" w:eastAsia="黑体"/>
          <w:color w:val="000000"/>
          <w:sz w:val="32"/>
          <w:szCs w:val="32"/>
        </w:rPr>
        <w:t>名）</w:t>
      </w:r>
    </w:p>
    <w:p>
      <w:pPr>
        <w:widowControl w:val="0"/>
        <w:autoSpaceDN w:val="0"/>
        <w:spacing w:line="320" w:lineRule="exact"/>
        <w:ind w:firstLine="560" w:firstLineChars="200"/>
        <w:textAlignment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华南理工大学、暨南大学、华南农业大学、南方医科大学、广州中医药大学、华南师范大学、广东工业大学、广东外语外贸大学、广东财经大学、广东医学院、广东药学院、广东技术师范学院、岭南师范学院、韩山师范学院、广州大学、广州医科大学、嘉应学院、佛山科学技术学院、肇庆学院、广东轻工职业技术学院、广东省外语艺术职业学院、广东工贸职业技术学院、广东水利水电职业技术学院、广东农工商职业技术学院、广州城市职业学院、广东培正学院、广州工商学院、北京师范大学珠海分校、电子科技大学中山学院、北京理工大学珠海学院、吉林大学珠海学院、中山大学新华学院、广州大学华软软件学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1795C"/>
    <w:rsid w:val="06E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2019-04-18T08:26:00Z</dcterms:created>
  <dc:creator>XWenzi</dc:creator>
  <cp:lastModifiedBy>XWenzi</cp:lastModifiedBy>
  <dcterms:modified xsi:type="dcterms:W3CDTF">2019-04-18T08:26:15Z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