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2E2B1">
      <w:pPr>
        <w:jc w:val="center"/>
        <w:rPr>
          <w:rFonts w:hint="eastAsia" w:ascii="方正小标宋简体" w:hAnsi="方正小标宋简体" w:eastAsia="方正小标宋简体" w:cs="方正小标宋简体"/>
          <w:sz w:val="44"/>
          <w:szCs w:val="48"/>
          <w:lang w:val="en-US" w:eastAsia="zh-CN"/>
        </w:rPr>
      </w:pPr>
      <w:r>
        <w:rPr>
          <w:rFonts w:hint="eastAsia" w:ascii="方正小标宋简体" w:hAnsi="方正小标宋简体" w:eastAsia="方正小标宋简体" w:cs="方正小标宋简体"/>
          <w:sz w:val="44"/>
          <w:szCs w:val="48"/>
          <w:lang w:val="en-US" w:eastAsia="zh-CN"/>
        </w:rPr>
        <w:t>评分表</w:t>
      </w:r>
    </w:p>
    <w:tbl>
      <w:tblPr>
        <w:tblStyle w:val="6"/>
        <w:tblpPr w:leftFromText="180" w:rightFromText="180" w:vertAnchor="page" w:horzAnchor="page" w:tblpX="1658" w:tblpY="3048"/>
        <w:tblOverlap w:val="never"/>
        <w:tblW w:w="86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896"/>
        <w:gridCol w:w="5966"/>
      </w:tblGrid>
      <w:tr w14:paraId="07CB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827" w:type="dxa"/>
            <w:tcBorders>
              <w:top w:val="single" w:color="auto" w:sz="4" w:space="0"/>
              <w:left w:val="single" w:color="auto" w:sz="4" w:space="0"/>
              <w:bottom w:val="single" w:color="auto" w:sz="4" w:space="0"/>
              <w:right w:val="single" w:color="auto" w:sz="4" w:space="0"/>
            </w:tcBorders>
            <w:vAlign w:val="center"/>
          </w:tcPr>
          <w:p w14:paraId="05F35FC6">
            <w:pPr>
              <w:snapToGrid w:val="0"/>
              <w:spacing w:line="240" w:lineRule="auto"/>
              <w:ind w:left="0" w:leftChars="0" w:right="0" w:rightChars="0" w:firstLine="0" w:firstLineChars="0"/>
              <w:jc w:val="center"/>
              <w:rPr>
                <w:rFonts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896" w:type="dxa"/>
            <w:tcBorders>
              <w:top w:val="single" w:color="auto" w:sz="4" w:space="0"/>
              <w:left w:val="single" w:color="auto" w:sz="4" w:space="0"/>
              <w:bottom w:val="single" w:color="auto" w:sz="4" w:space="0"/>
              <w:right w:val="single" w:color="auto" w:sz="4" w:space="0"/>
            </w:tcBorders>
            <w:vAlign w:val="center"/>
          </w:tcPr>
          <w:p w14:paraId="21115A1F">
            <w:pPr>
              <w:snapToGrid w:val="0"/>
              <w:spacing w:line="240" w:lineRule="auto"/>
              <w:ind w:left="0" w:leftChars="0" w:right="0" w:rightChars="0" w:firstLine="0" w:firstLineChars="0"/>
              <w:jc w:val="center"/>
              <w:rPr>
                <w:rFonts w:ascii="仿宋" w:hAnsi="仿宋" w:eastAsia="仿宋" w:cs="仿宋"/>
                <w:b/>
                <w:bCs/>
                <w:color w:val="auto"/>
                <w:sz w:val="24"/>
                <w:szCs w:val="24"/>
              </w:rPr>
            </w:pPr>
            <w:r>
              <w:rPr>
                <w:rFonts w:hint="eastAsia" w:ascii="仿宋" w:hAnsi="仿宋" w:eastAsia="仿宋" w:cs="仿宋"/>
                <w:b/>
                <w:bCs/>
                <w:color w:val="auto"/>
                <w:sz w:val="24"/>
                <w:szCs w:val="24"/>
                <w:lang w:val="en-US" w:eastAsia="zh-CN"/>
              </w:rPr>
              <w:t>评价</w:t>
            </w:r>
            <w:r>
              <w:rPr>
                <w:rFonts w:hint="eastAsia" w:ascii="仿宋" w:hAnsi="仿宋" w:eastAsia="仿宋" w:cs="仿宋"/>
                <w:b/>
                <w:bCs/>
                <w:color w:val="auto"/>
                <w:sz w:val="24"/>
                <w:szCs w:val="24"/>
              </w:rPr>
              <w:t>内容</w:t>
            </w:r>
          </w:p>
        </w:tc>
        <w:tc>
          <w:tcPr>
            <w:tcW w:w="5966" w:type="dxa"/>
            <w:tcBorders>
              <w:top w:val="single" w:color="auto" w:sz="4" w:space="0"/>
              <w:left w:val="single" w:color="auto" w:sz="4" w:space="0"/>
              <w:bottom w:val="single" w:color="auto" w:sz="4" w:space="0"/>
              <w:right w:val="single" w:color="auto" w:sz="4" w:space="0"/>
            </w:tcBorders>
            <w:vAlign w:val="center"/>
          </w:tcPr>
          <w:p w14:paraId="42EBBC66">
            <w:pPr>
              <w:snapToGrid w:val="0"/>
              <w:spacing w:line="240" w:lineRule="auto"/>
              <w:ind w:left="0" w:leftChars="0" w:right="0" w:rightChars="0" w:firstLine="0" w:firstLineChars="0"/>
              <w:jc w:val="center"/>
              <w:rPr>
                <w:rFonts w:ascii="仿宋" w:hAnsi="仿宋" w:eastAsia="仿宋" w:cs="仿宋"/>
                <w:b/>
                <w:bCs/>
                <w:color w:val="auto"/>
                <w:sz w:val="24"/>
                <w:szCs w:val="24"/>
              </w:rPr>
            </w:pPr>
            <w:r>
              <w:rPr>
                <w:rFonts w:hint="eastAsia" w:ascii="仿宋" w:hAnsi="仿宋" w:eastAsia="仿宋" w:cs="仿宋"/>
                <w:b/>
                <w:bCs/>
                <w:color w:val="auto"/>
                <w:sz w:val="24"/>
                <w:szCs w:val="24"/>
                <w:lang w:val="en-US" w:eastAsia="zh-CN"/>
              </w:rPr>
              <w:t>评价</w:t>
            </w:r>
            <w:r>
              <w:rPr>
                <w:rFonts w:hint="eastAsia" w:ascii="仿宋" w:hAnsi="仿宋" w:eastAsia="仿宋" w:cs="仿宋"/>
                <w:b/>
                <w:bCs/>
                <w:color w:val="auto"/>
                <w:sz w:val="24"/>
                <w:szCs w:val="24"/>
              </w:rPr>
              <w:t>标准</w:t>
            </w:r>
          </w:p>
        </w:tc>
      </w:tr>
      <w:tr w14:paraId="13A8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827" w:type="dxa"/>
            <w:tcBorders>
              <w:left w:val="single" w:color="auto" w:sz="4" w:space="0"/>
              <w:bottom w:val="single" w:color="auto" w:sz="4" w:space="0"/>
              <w:right w:val="single" w:color="auto" w:sz="4" w:space="0"/>
            </w:tcBorders>
            <w:vAlign w:val="center"/>
          </w:tcPr>
          <w:p w14:paraId="4D0DDCEE">
            <w:pPr>
              <w:tabs>
                <w:tab w:val="left" w:pos="312"/>
              </w:tabs>
              <w:snapToGrid w:val="0"/>
              <w:spacing w:line="240" w:lineRule="auto"/>
              <w:ind w:left="0" w:leftChars="0" w:right="0" w:rightChars="0" w:firstLine="0" w:firstLineChars="0"/>
              <w:jc w:val="left"/>
              <w:rPr>
                <w:rFonts w:hint="default" w:eastAsiaTheme="minorEastAsia"/>
                <w:color w:val="auto"/>
                <w:lang w:val="en-US" w:eastAsia="zh-CN"/>
              </w:rPr>
            </w:pPr>
            <w:r>
              <w:rPr>
                <w:rFonts w:hint="eastAsia"/>
                <w:color w:val="auto"/>
                <w:lang w:val="en-US" w:eastAsia="zh-CN"/>
              </w:rPr>
              <w:t>1</w:t>
            </w:r>
          </w:p>
        </w:tc>
        <w:tc>
          <w:tcPr>
            <w:tcW w:w="1896" w:type="dxa"/>
            <w:tcBorders>
              <w:left w:val="single" w:color="auto" w:sz="4" w:space="0"/>
              <w:bottom w:val="single" w:color="auto" w:sz="4" w:space="0"/>
              <w:right w:val="single" w:color="auto" w:sz="4" w:space="0"/>
            </w:tcBorders>
            <w:vAlign w:val="center"/>
          </w:tcPr>
          <w:p w14:paraId="791C3642">
            <w:pPr>
              <w:numPr>
                <w:ilvl w:val="0"/>
                <w:numId w:val="0"/>
              </w:numPr>
              <w:snapToGrid w:val="0"/>
              <w:spacing w:line="240" w:lineRule="auto"/>
              <w:ind w:leftChars="0" w:right="0" w:right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律所人员规模</w:t>
            </w:r>
          </w:p>
          <w:p w14:paraId="3197F378">
            <w:pPr>
              <w:numPr>
                <w:ilvl w:val="0"/>
                <w:numId w:val="0"/>
              </w:numPr>
              <w:snapToGrid w:val="0"/>
              <w:spacing w:line="240" w:lineRule="auto"/>
              <w:ind w:leftChars="0" w:right="0" w:rightChars="0"/>
              <w:jc w:val="center"/>
              <w:rPr>
                <w:rFonts w:hint="eastAsia"/>
                <w:color w:val="auto"/>
                <w:lang w:val="en-US" w:eastAsia="zh-CN"/>
              </w:rPr>
            </w:pPr>
            <w:r>
              <w:rPr>
                <w:rFonts w:hint="eastAsia" w:ascii="仿宋" w:hAnsi="仿宋" w:eastAsia="仿宋" w:cs="仿宋"/>
                <w:color w:val="auto"/>
                <w:sz w:val="24"/>
                <w:szCs w:val="24"/>
                <w:lang w:val="en-US" w:eastAsia="zh-CN"/>
              </w:rPr>
              <w:t>（3分）</w:t>
            </w:r>
          </w:p>
        </w:tc>
        <w:tc>
          <w:tcPr>
            <w:tcW w:w="5966" w:type="dxa"/>
            <w:tcBorders>
              <w:top w:val="single" w:color="auto" w:sz="4" w:space="0"/>
              <w:left w:val="single" w:color="auto" w:sz="4" w:space="0"/>
              <w:bottom w:val="single" w:color="auto" w:sz="4" w:space="0"/>
              <w:right w:val="single" w:color="auto" w:sz="4" w:space="0"/>
            </w:tcBorders>
            <w:vAlign w:val="center"/>
          </w:tcPr>
          <w:p w14:paraId="2F1CEBF6">
            <w:pPr>
              <w:numPr>
                <w:ilvl w:val="0"/>
                <w:numId w:val="0"/>
              </w:numPr>
              <w:snapToGrid w:val="0"/>
              <w:spacing w:line="240" w:lineRule="auto"/>
              <w:ind w:leftChars="0" w:right="0" w:right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（1）成都地区专职执业律师20-30人--1分</w:t>
            </w:r>
          </w:p>
          <w:p w14:paraId="7F9B019E">
            <w:pPr>
              <w:numPr>
                <w:ilvl w:val="0"/>
                <w:numId w:val="0"/>
              </w:numPr>
              <w:snapToGrid w:val="0"/>
              <w:spacing w:line="240" w:lineRule="auto"/>
              <w:ind w:leftChars="0" w:right="0" w:right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（2）成都地区专职执业律师30-40人--2分</w:t>
            </w:r>
          </w:p>
          <w:p w14:paraId="494DD741">
            <w:pPr>
              <w:numPr>
                <w:ilvl w:val="0"/>
                <w:numId w:val="0"/>
              </w:numPr>
              <w:snapToGrid w:val="0"/>
              <w:spacing w:line="240" w:lineRule="auto"/>
              <w:ind w:leftChars="0" w:right="0" w:rightChars="0"/>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（3）成都地区专职执业律师40人以上--3分</w:t>
            </w:r>
          </w:p>
        </w:tc>
      </w:tr>
      <w:tr w14:paraId="6ED6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7" w:type="dxa"/>
            <w:tcBorders>
              <w:top w:val="single" w:color="auto" w:sz="4" w:space="0"/>
              <w:left w:val="single" w:color="auto" w:sz="4" w:space="0"/>
              <w:bottom w:val="single" w:color="auto" w:sz="4" w:space="0"/>
              <w:right w:val="single" w:color="auto" w:sz="4" w:space="0"/>
            </w:tcBorders>
            <w:vAlign w:val="center"/>
          </w:tcPr>
          <w:p w14:paraId="7217D2D8">
            <w:pPr>
              <w:snapToGrid w:val="0"/>
              <w:spacing w:line="240" w:lineRule="auto"/>
              <w:ind w:left="0" w:leftChars="0" w:right="0" w:rightChars="0" w:firstLine="0" w:firstLineChars="0"/>
              <w:jc w:val="center"/>
              <w:rPr>
                <w:rFonts w:ascii="仿宋" w:hAnsi="仿宋" w:eastAsia="仿宋" w:cs="仿宋"/>
                <w:color w:val="auto"/>
                <w:sz w:val="24"/>
                <w:szCs w:val="28"/>
              </w:rPr>
            </w:pPr>
            <w:r>
              <w:rPr>
                <w:rFonts w:hint="eastAsia" w:ascii="仿宋" w:hAnsi="仿宋" w:eastAsia="仿宋" w:cs="仿宋"/>
                <w:color w:val="auto"/>
                <w:sz w:val="24"/>
                <w:szCs w:val="28"/>
              </w:rPr>
              <w:t>2</w:t>
            </w:r>
          </w:p>
        </w:tc>
        <w:tc>
          <w:tcPr>
            <w:tcW w:w="1896" w:type="dxa"/>
            <w:tcBorders>
              <w:top w:val="single" w:color="auto" w:sz="4" w:space="0"/>
              <w:left w:val="single" w:color="auto" w:sz="4" w:space="0"/>
              <w:bottom w:val="single" w:color="auto" w:sz="4" w:space="0"/>
              <w:right w:val="single" w:color="auto" w:sz="4" w:space="0"/>
            </w:tcBorders>
            <w:vAlign w:val="center"/>
          </w:tcPr>
          <w:p w14:paraId="06300067">
            <w:pPr>
              <w:snapToGrid w:val="0"/>
              <w:spacing w:line="240" w:lineRule="auto"/>
              <w:ind w:left="0" w:leftChars="0" w:right="0" w:rightChars="0"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律所</w:t>
            </w:r>
            <w:r>
              <w:rPr>
                <w:rFonts w:hint="eastAsia" w:ascii="仿宋" w:hAnsi="仿宋" w:eastAsia="仿宋" w:cs="仿宋"/>
                <w:color w:val="auto"/>
                <w:sz w:val="24"/>
                <w:szCs w:val="24"/>
              </w:rPr>
              <w:t>荣誉</w:t>
            </w:r>
            <w:r>
              <w:rPr>
                <w:rFonts w:hint="eastAsia" w:ascii="仿宋" w:hAnsi="仿宋" w:eastAsia="仿宋" w:cs="仿宋"/>
                <w:color w:val="auto"/>
                <w:sz w:val="24"/>
                <w:szCs w:val="24"/>
              </w:rPr>
              <w:br w:type="textWrapping"/>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4分</w:t>
            </w:r>
            <w:r>
              <w:rPr>
                <w:rFonts w:hint="eastAsia" w:ascii="仿宋" w:hAnsi="仿宋" w:eastAsia="仿宋" w:cs="仿宋"/>
                <w:color w:val="auto"/>
                <w:sz w:val="24"/>
                <w:szCs w:val="24"/>
                <w:lang w:eastAsia="zh-CN"/>
              </w:rPr>
              <w:t>）</w:t>
            </w:r>
          </w:p>
        </w:tc>
        <w:tc>
          <w:tcPr>
            <w:tcW w:w="5966" w:type="dxa"/>
            <w:tcBorders>
              <w:top w:val="single" w:color="auto" w:sz="4" w:space="0"/>
              <w:left w:val="single" w:color="auto" w:sz="4" w:space="0"/>
              <w:bottom w:val="single" w:color="auto" w:sz="4" w:space="0"/>
              <w:right w:val="single" w:color="auto" w:sz="4" w:space="0"/>
            </w:tcBorders>
            <w:vAlign w:val="center"/>
          </w:tcPr>
          <w:p w14:paraId="73D4C81A">
            <w:pPr>
              <w:adjustRightInd w:val="0"/>
              <w:snapToGrid w:val="0"/>
              <w:spacing w:line="240" w:lineRule="auto"/>
              <w:ind w:left="0" w:leftChars="0" w:right="0" w:rightChars="0" w:firstLine="0" w:firstLine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所获荣誉，以所获最高奖励为标准：</w:t>
            </w:r>
          </w:p>
          <w:p w14:paraId="60B12F4E">
            <w:pPr>
              <w:adjustRightInd w:val="0"/>
              <w:snapToGrid w:val="0"/>
              <w:spacing w:line="240" w:lineRule="auto"/>
              <w:ind w:left="0" w:leftChars="0" w:right="0" w:rightChars="0" w:firstLine="0" w:firstLine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（1）获得区级优秀律师事务所荣誉--1分</w:t>
            </w:r>
          </w:p>
          <w:p w14:paraId="0B8E6325">
            <w:pPr>
              <w:adjustRightInd w:val="0"/>
              <w:snapToGrid w:val="0"/>
              <w:spacing w:line="240" w:lineRule="auto"/>
              <w:ind w:left="0" w:leftChars="0" w:right="0" w:rightChars="0" w:firstLine="0" w:firstLineChars="0"/>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（2）获得市级优秀律师事务所荣誉--2分</w:t>
            </w:r>
          </w:p>
          <w:p w14:paraId="28B287D4">
            <w:pPr>
              <w:adjustRightInd w:val="0"/>
              <w:snapToGrid w:val="0"/>
              <w:spacing w:line="240" w:lineRule="auto"/>
              <w:ind w:left="0" w:leftChars="0" w:right="0" w:rightChars="0" w:firstLine="0" w:firstLine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（3）获得省级优秀律师事务所荣誉--3分</w:t>
            </w:r>
          </w:p>
          <w:p w14:paraId="77AD78D1">
            <w:pPr>
              <w:adjustRightInd w:val="0"/>
              <w:snapToGrid w:val="0"/>
              <w:spacing w:line="240" w:lineRule="auto"/>
              <w:ind w:left="0" w:leftChars="0" w:right="0" w:rightChars="0" w:firstLine="0" w:firstLineChars="0"/>
              <w:jc w:val="left"/>
              <w:rPr>
                <w:rFonts w:hint="default" w:ascii="宋体"/>
                <w:color w:val="auto"/>
                <w:sz w:val="24"/>
                <w:szCs w:val="24"/>
                <w:lang w:val="en-US" w:eastAsia="zh-CN"/>
              </w:rPr>
            </w:pPr>
            <w:r>
              <w:rPr>
                <w:rFonts w:hint="eastAsia" w:ascii="仿宋" w:hAnsi="仿宋" w:eastAsia="仿宋" w:cs="仿宋"/>
                <w:color w:val="auto"/>
                <w:sz w:val="24"/>
                <w:szCs w:val="24"/>
                <w:lang w:val="en-US" w:eastAsia="zh-CN"/>
              </w:rPr>
              <w:t>（4）获得国家级优秀律师事务所荣誉--4分</w:t>
            </w:r>
          </w:p>
        </w:tc>
      </w:tr>
      <w:tr w14:paraId="52CC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27" w:type="dxa"/>
            <w:vMerge w:val="restart"/>
            <w:tcBorders>
              <w:top w:val="single" w:color="auto" w:sz="4" w:space="0"/>
              <w:left w:val="single" w:color="auto" w:sz="4" w:space="0"/>
              <w:right w:val="single" w:color="auto" w:sz="4" w:space="0"/>
            </w:tcBorders>
            <w:vAlign w:val="center"/>
          </w:tcPr>
          <w:p w14:paraId="0476D8B8">
            <w:pPr>
              <w:snapToGrid w:val="0"/>
              <w:spacing w:line="240" w:lineRule="auto"/>
              <w:ind w:left="0" w:leftChars="0" w:right="0" w:rightChars="0" w:firstLine="0" w:firstLineChars="0"/>
              <w:jc w:val="center"/>
              <w:rPr>
                <w:rFonts w:hint="eastAsia" w:ascii="仿宋" w:hAnsi="仿宋" w:eastAsia="仿宋" w:cs="仿宋"/>
                <w:color w:val="auto"/>
                <w:sz w:val="24"/>
                <w:szCs w:val="28"/>
              </w:rPr>
            </w:pPr>
            <w:r>
              <w:rPr>
                <w:rFonts w:hint="eastAsia" w:ascii="仿宋" w:hAnsi="仿宋" w:eastAsia="仿宋" w:cs="仿宋"/>
                <w:color w:val="auto"/>
                <w:sz w:val="24"/>
                <w:szCs w:val="28"/>
              </w:rPr>
              <w:t>3</w:t>
            </w:r>
          </w:p>
          <w:p w14:paraId="79C36184">
            <w:pPr>
              <w:snapToGrid w:val="0"/>
              <w:spacing w:line="240" w:lineRule="auto"/>
              <w:ind w:left="0" w:leftChars="0" w:right="0" w:rightChars="0" w:firstLine="0" w:firstLineChars="0"/>
              <w:jc w:val="left"/>
              <w:rPr>
                <w:rFonts w:hint="default"/>
                <w:color w:val="auto"/>
              </w:rPr>
            </w:pPr>
          </w:p>
        </w:tc>
        <w:tc>
          <w:tcPr>
            <w:tcW w:w="1896" w:type="dxa"/>
            <w:vMerge w:val="restart"/>
            <w:tcBorders>
              <w:top w:val="single" w:color="auto" w:sz="4" w:space="0"/>
              <w:left w:val="single" w:color="auto" w:sz="4" w:space="0"/>
              <w:right w:val="single" w:color="auto" w:sz="4" w:space="0"/>
            </w:tcBorders>
            <w:vAlign w:val="center"/>
          </w:tcPr>
          <w:p w14:paraId="10841BBB">
            <w:pPr>
              <w:snapToGrid w:val="0"/>
              <w:spacing w:line="240" w:lineRule="auto"/>
              <w:ind w:left="0" w:leftChars="0" w:right="0" w:rightChars="0"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团队综合实力</w:t>
            </w:r>
          </w:p>
          <w:p w14:paraId="3741380E">
            <w:pPr>
              <w:snapToGrid w:val="0"/>
              <w:spacing w:line="240" w:lineRule="auto"/>
              <w:ind w:left="0" w:leftChars="0" w:right="0" w:rightChars="0"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（9分）</w:t>
            </w:r>
          </w:p>
        </w:tc>
        <w:tc>
          <w:tcPr>
            <w:tcW w:w="5966" w:type="dxa"/>
            <w:tcBorders>
              <w:top w:val="single" w:color="auto" w:sz="4" w:space="0"/>
              <w:left w:val="single" w:color="auto" w:sz="4" w:space="0"/>
              <w:bottom w:val="single" w:color="auto" w:sz="4" w:space="0"/>
              <w:right w:val="single" w:color="auto" w:sz="4" w:space="0"/>
            </w:tcBorders>
            <w:vAlign w:val="center"/>
          </w:tcPr>
          <w:p w14:paraId="612D8C27">
            <w:pPr>
              <w:snapToGrid w:val="0"/>
              <w:spacing w:line="240" w:lineRule="auto"/>
              <w:ind w:left="0" w:leftChars="0" w:right="0" w:rightChars="0" w:firstLine="0" w:firstLineChars="0"/>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主办律师执业年限，多个主办律师的取平均数计算（主办律师需为后续合同中约定的主办律师及主要联络人，并且为服务事项核心对接人）：</w:t>
            </w:r>
          </w:p>
          <w:p w14:paraId="57A71969">
            <w:pPr>
              <w:snapToGrid w:val="0"/>
              <w:spacing w:line="240" w:lineRule="auto"/>
              <w:ind w:left="0" w:leftChars="0" w:right="0" w:rightChars="0" w:firstLine="0" w:firstLine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(1)执业年限5年-10年--2分</w:t>
            </w:r>
          </w:p>
          <w:p w14:paraId="253B501D">
            <w:pPr>
              <w:snapToGrid w:val="0"/>
              <w:spacing w:line="240" w:lineRule="auto"/>
              <w:ind w:left="0" w:leftChars="0" w:right="0" w:rightChars="0" w:firstLine="0" w:firstLine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(2)执业年限10-15年--4分</w:t>
            </w:r>
          </w:p>
          <w:p w14:paraId="34B93C9B">
            <w:pPr>
              <w:snapToGrid w:val="0"/>
              <w:spacing w:line="240" w:lineRule="auto"/>
              <w:ind w:left="0" w:leftChars="0" w:right="0" w:rightChars="0" w:firstLine="0" w:firstLineChars="0"/>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(3)执业年限15年以上--6分</w:t>
            </w:r>
          </w:p>
        </w:tc>
      </w:tr>
      <w:tr w14:paraId="588F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27" w:type="dxa"/>
            <w:vMerge w:val="continue"/>
            <w:tcBorders>
              <w:left w:val="single" w:color="auto" w:sz="4" w:space="0"/>
              <w:bottom w:val="single" w:color="auto" w:sz="4" w:space="0"/>
              <w:right w:val="single" w:color="auto" w:sz="4" w:space="0"/>
            </w:tcBorders>
            <w:vAlign w:val="center"/>
          </w:tcPr>
          <w:p w14:paraId="298EB473">
            <w:pPr>
              <w:snapToGrid w:val="0"/>
              <w:spacing w:line="240" w:lineRule="auto"/>
              <w:ind w:left="0" w:leftChars="0" w:right="0" w:rightChars="0" w:firstLine="0" w:firstLineChars="0"/>
              <w:jc w:val="left"/>
              <w:rPr>
                <w:color w:val="auto"/>
              </w:rPr>
            </w:pPr>
          </w:p>
        </w:tc>
        <w:tc>
          <w:tcPr>
            <w:tcW w:w="1896" w:type="dxa"/>
            <w:vMerge w:val="continue"/>
            <w:tcBorders>
              <w:left w:val="single" w:color="auto" w:sz="4" w:space="0"/>
              <w:bottom w:val="single" w:color="auto" w:sz="4" w:space="0"/>
              <w:right w:val="single" w:color="auto" w:sz="4" w:space="0"/>
            </w:tcBorders>
            <w:vAlign w:val="center"/>
          </w:tcPr>
          <w:p w14:paraId="0EC75366">
            <w:pPr>
              <w:snapToGrid w:val="0"/>
              <w:spacing w:line="240" w:lineRule="auto"/>
              <w:ind w:left="0" w:leftChars="0" w:right="0" w:rightChars="0" w:firstLine="0" w:firstLineChars="0"/>
              <w:jc w:val="left"/>
              <w:rPr>
                <w:color w:val="auto"/>
              </w:rPr>
            </w:pPr>
          </w:p>
        </w:tc>
        <w:tc>
          <w:tcPr>
            <w:tcW w:w="5966" w:type="dxa"/>
            <w:tcBorders>
              <w:top w:val="single" w:color="auto" w:sz="4" w:space="0"/>
              <w:left w:val="single" w:color="auto" w:sz="4" w:space="0"/>
              <w:bottom w:val="single" w:color="auto" w:sz="4" w:space="0"/>
              <w:right w:val="single" w:color="auto" w:sz="4" w:space="0"/>
            </w:tcBorders>
            <w:vAlign w:val="center"/>
          </w:tcPr>
          <w:p w14:paraId="01C8B6CF">
            <w:pPr>
              <w:snapToGrid w:val="0"/>
              <w:spacing w:line="240" w:lineRule="auto"/>
              <w:ind w:left="0" w:leftChars="0" w:right="0" w:rightChars="0" w:firstLine="0" w:firstLine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主办律师所获最高荣誉，不重复计数：</w:t>
            </w:r>
          </w:p>
          <w:p w14:paraId="4E756FDB">
            <w:pPr>
              <w:snapToGrid w:val="0"/>
              <w:spacing w:line="240" w:lineRule="auto"/>
              <w:ind w:left="0" w:leftChars="0" w:right="0" w:rightChars="0" w:firstLine="0" w:firstLine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（1）区级律协优秀律师称号--1分</w:t>
            </w:r>
          </w:p>
          <w:p w14:paraId="389D6718">
            <w:pPr>
              <w:snapToGrid w:val="0"/>
              <w:spacing w:line="240" w:lineRule="auto"/>
              <w:ind w:left="0" w:leftChars="0" w:right="0" w:rightChars="0" w:firstLine="0" w:firstLine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（2）市级律协优秀律师称号--2分</w:t>
            </w:r>
          </w:p>
          <w:p w14:paraId="5C32DD3A">
            <w:pPr>
              <w:snapToGrid w:val="0"/>
              <w:spacing w:line="240" w:lineRule="auto"/>
              <w:ind w:left="0" w:leftChars="0" w:right="0" w:rightChars="0" w:firstLine="0" w:firstLineChars="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（3）省级律协优秀律师--3分</w:t>
            </w:r>
          </w:p>
        </w:tc>
      </w:tr>
      <w:tr w14:paraId="42ED9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827" w:type="dxa"/>
            <w:vMerge w:val="continue"/>
            <w:tcBorders>
              <w:left w:val="single" w:color="auto" w:sz="4" w:space="0"/>
              <w:right w:val="single" w:color="auto" w:sz="4" w:space="0"/>
            </w:tcBorders>
            <w:vAlign w:val="center"/>
          </w:tcPr>
          <w:p w14:paraId="4549284A">
            <w:pPr>
              <w:snapToGrid w:val="0"/>
              <w:spacing w:line="240" w:lineRule="auto"/>
              <w:ind w:left="0" w:leftChars="0" w:right="0" w:rightChars="0" w:firstLine="0" w:firstLineChars="0"/>
              <w:jc w:val="left"/>
              <w:rPr>
                <w:color w:val="auto"/>
              </w:rPr>
            </w:pPr>
          </w:p>
        </w:tc>
        <w:tc>
          <w:tcPr>
            <w:tcW w:w="1896" w:type="dxa"/>
            <w:vMerge w:val="restart"/>
            <w:tcBorders>
              <w:left w:val="single" w:color="auto" w:sz="4" w:space="0"/>
              <w:right w:val="single" w:color="auto" w:sz="4" w:space="0"/>
            </w:tcBorders>
            <w:vAlign w:val="center"/>
          </w:tcPr>
          <w:p w14:paraId="1D0702C8">
            <w:pPr>
              <w:snapToGrid w:val="0"/>
              <w:spacing w:line="240" w:lineRule="auto"/>
              <w:ind w:left="0" w:leftChars="0" w:right="0" w:rightChars="0"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团队业绩</w:t>
            </w:r>
          </w:p>
          <w:p w14:paraId="4392D916">
            <w:pPr>
              <w:snapToGrid w:val="0"/>
              <w:spacing w:line="240" w:lineRule="auto"/>
              <w:ind w:left="0" w:leftChars="0" w:right="0" w:rightChars="0" w:firstLine="0" w:firstLineChars="0"/>
              <w:jc w:val="center"/>
              <w:rPr>
                <w:rFonts w:hint="default"/>
                <w:color w:val="auto"/>
                <w:lang w:val="en-US" w:eastAsia="zh-CN"/>
              </w:rPr>
            </w:pPr>
            <w:r>
              <w:rPr>
                <w:rFonts w:hint="eastAsia" w:ascii="仿宋" w:hAnsi="仿宋" w:eastAsia="仿宋" w:cs="仿宋"/>
                <w:color w:val="auto"/>
                <w:sz w:val="24"/>
                <w:szCs w:val="24"/>
                <w:lang w:val="en-US" w:eastAsia="zh-CN"/>
              </w:rPr>
              <w:t>(17分)</w:t>
            </w:r>
          </w:p>
        </w:tc>
        <w:tc>
          <w:tcPr>
            <w:tcW w:w="5966" w:type="dxa"/>
            <w:tcBorders>
              <w:top w:val="single" w:color="auto" w:sz="4" w:space="0"/>
              <w:left w:val="single" w:color="auto" w:sz="4" w:space="0"/>
              <w:bottom w:val="single" w:color="auto" w:sz="4" w:space="0"/>
              <w:right w:val="single" w:color="auto" w:sz="4" w:space="0"/>
            </w:tcBorders>
            <w:vAlign w:val="center"/>
          </w:tcPr>
          <w:p w14:paraId="62FF9036">
            <w:pPr>
              <w:snapToGrid w:val="0"/>
              <w:spacing w:line="240" w:lineRule="auto"/>
              <w:ind w:left="0" w:leftChars="0" w:right="0" w:rightChars="0" w:firstLine="0" w:firstLineChars="0"/>
              <w:jc w:val="left"/>
              <w:rPr>
                <w:rFonts w:hint="eastAsia" w:ascii="仿宋" w:hAnsi="宋体" w:eastAsia="仿宋" w:cs="宋体"/>
                <w:color w:val="auto"/>
                <w:sz w:val="24"/>
                <w:szCs w:val="28"/>
                <w:lang w:val="en-US" w:eastAsia="zh-CN"/>
              </w:rPr>
            </w:pPr>
            <w:r>
              <w:rPr>
                <w:rFonts w:hint="eastAsia" w:ascii="仿宋" w:hAnsi="宋体" w:eastAsia="仿宋" w:cs="宋体"/>
                <w:color w:val="auto"/>
                <w:sz w:val="24"/>
                <w:szCs w:val="28"/>
                <w:lang w:val="en-US" w:eastAsia="zh-CN"/>
              </w:rPr>
              <w:t>近三年为大型建设工程施工单位提供常年法律顾问服务的相关业绩。一家单位计1分，最高6分。</w:t>
            </w:r>
          </w:p>
        </w:tc>
      </w:tr>
      <w:tr w14:paraId="6B27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827" w:type="dxa"/>
            <w:vMerge w:val="continue"/>
            <w:tcBorders>
              <w:left w:val="single" w:color="auto" w:sz="4" w:space="0"/>
              <w:right w:val="single" w:color="auto" w:sz="4" w:space="0"/>
            </w:tcBorders>
            <w:vAlign w:val="center"/>
          </w:tcPr>
          <w:p w14:paraId="3E54FDF2">
            <w:pPr>
              <w:snapToGrid w:val="0"/>
              <w:spacing w:line="240" w:lineRule="auto"/>
              <w:ind w:left="0" w:leftChars="0" w:right="0" w:rightChars="0" w:firstLine="0" w:firstLineChars="0"/>
              <w:jc w:val="left"/>
              <w:rPr>
                <w:rFonts w:hint="eastAsia" w:ascii="仿宋" w:hAnsi="宋体" w:eastAsia="仿宋" w:cs="宋体"/>
                <w:color w:val="auto"/>
                <w:sz w:val="24"/>
                <w:szCs w:val="28"/>
                <w:lang w:val="en-US" w:eastAsia="zh-CN"/>
              </w:rPr>
            </w:pPr>
          </w:p>
        </w:tc>
        <w:tc>
          <w:tcPr>
            <w:tcW w:w="1896" w:type="dxa"/>
            <w:vMerge w:val="continue"/>
            <w:tcBorders>
              <w:left w:val="single" w:color="auto" w:sz="4" w:space="0"/>
              <w:right w:val="single" w:color="auto" w:sz="4" w:space="0"/>
            </w:tcBorders>
            <w:vAlign w:val="center"/>
          </w:tcPr>
          <w:p w14:paraId="6FD52A22">
            <w:pPr>
              <w:snapToGrid w:val="0"/>
              <w:spacing w:line="240" w:lineRule="auto"/>
              <w:ind w:left="0" w:leftChars="0" w:right="0" w:rightChars="0" w:firstLine="0" w:firstLineChars="0"/>
              <w:jc w:val="left"/>
              <w:rPr>
                <w:rFonts w:hint="eastAsia" w:ascii="仿宋" w:hAnsi="宋体" w:eastAsia="仿宋" w:cs="宋体"/>
                <w:color w:val="auto"/>
                <w:sz w:val="24"/>
                <w:szCs w:val="28"/>
                <w:lang w:val="en-US" w:eastAsia="zh-CN"/>
              </w:rPr>
            </w:pPr>
          </w:p>
        </w:tc>
        <w:tc>
          <w:tcPr>
            <w:tcW w:w="5966" w:type="dxa"/>
            <w:tcBorders>
              <w:top w:val="single" w:color="auto" w:sz="4" w:space="0"/>
              <w:left w:val="single" w:color="auto" w:sz="4" w:space="0"/>
              <w:bottom w:val="single" w:color="auto" w:sz="4" w:space="0"/>
              <w:right w:val="single" w:color="auto" w:sz="4" w:space="0"/>
            </w:tcBorders>
            <w:vAlign w:val="center"/>
          </w:tcPr>
          <w:p w14:paraId="7C86536E">
            <w:pPr>
              <w:snapToGrid w:val="0"/>
              <w:spacing w:line="240" w:lineRule="auto"/>
              <w:ind w:left="0" w:leftChars="0" w:right="0" w:rightChars="0" w:firstLine="0" w:firstLineChars="0"/>
              <w:jc w:val="left"/>
              <w:rPr>
                <w:rFonts w:hint="default" w:ascii="仿宋" w:hAnsi="宋体" w:eastAsia="仿宋" w:cs="宋体"/>
                <w:color w:val="auto"/>
                <w:sz w:val="24"/>
                <w:szCs w:val="28"/>
                <w:lang w:val="en-US" w:eastAsia="zh-CN"/>
              </w:rPr>
            </w:pPr>
            <w:r>
              <w:rPr>
                <w:rFonts w:hint="eastAsia" w:ascii="仿宋" w:hAnsi="宋体" w:eastAsia="仿宋" w:cs="宋体"/>
                <w:color w:val="auto"/>
                <w:sz w:val="24"/>
                <w:szCs w:val="28"/>
                <w:lang w:val="en-US" w:eastAsia="zh-CN"/>
              </w:rPr>
              <w:t>近三年代理的重大建设工程纠纷胜诉案件，标的额在2000万元以上。一件胜诉案件计1分，最高6分。</w:t>
            </w:r>
          </w:p>
        </w:tc>
      </w:tr>
      <w:tr w14:paraId="4E75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7" w:type="dxa"/>
            <w:vMerge w:val="continue"/>
            <w:tcBorders>
              <w:left w:val="single" w:color="auto" w:sz="4" w:space="0"/>
              <w:bottom w:val="single" w:color="auto" w:sz="4" w:space="0"/>
              <w:right w:val="single" w:color="auto" w:sz="4" w:space="0"/>
            </w:tcBorders>
            <w:vAlign w:val="center"/>
          </w:tcPr>
          <w:p w14:paraId="558FF518">
            <w:pPr>
              <w:snapToGrid w:val="0"/>
              <w:spacing w:line="240" w:lineRule="auto"/>
              <w:ind w:left="0" w:leftChars="0" w:right="0" w:rightChars="0" w:firstLine="0" w:firstLineChars="0"/>
              <w:jc w:val="left"/>
              <w:rPr>
                <w:rFonts w:hint="eastAsia" w:ascii="仿宋" w:hAnsi="宋体" w:eastAsia="仿宋" w:cs="宋体"/>
                <w:color w:val="auto"/>
                <w:sz w:val="24"/>
                <w:szCs w:val="28"/>
                <w:lang w:val="en-US" w:eastAsia="zh-CN"/>
              </w:rPr>
            </w:pPr>
          </w:p>
        </w:tc>
        <w:tc>
          <w:tcPr>
            <w:tcW w:w="1896" w:type="dxa"/>
            <w:vMerge w:val="continue"/>
            <w:tcBorders>
              <w:left w:val="single" w:color="auto" w:sz="4" w:space="0"/>
              <w:bottom w:val="single" w:color="auto" w:sz="4" w:space="0"/>
              <w:right w:val="single" w:color="auto" w:sz="4" w:space="0"/>
            </w:tcBorders>
            <w:vAlign w:val="center"/>
          </w:tcPr>
          <w:p w14:paraId="28D2991B">
            <w:pPr>
              <w:snapToGrid w:val="0"/>
              <w:spacing w:line="240" w:lineRule="auto"/>
              <w:ind w:left="0" w:leftChars="0" w:right="0" w:rightChars="0" w:firstLine="0" w:firstLineChars="0"/>
              <w:jc w:val="left"/>
              <w:rPr>
                <w:rFonts w:hint="eastAsia" w:ascii="仿宋" w:hAnsi="宋体" w:eastAsia="仿宋" w:cs="宋体"/>
                <w:color w:val="auto"/>
                <w:sz w:val="24"/>
                <w:szCs w:val="28"/>
                <w:lang w:val="en-US" w:eastAsia="zh-CN"/>
              </w:rPr>
            </w:pPr>
          </w:p>
        </w:tc>
        <w:tc>
          <w:tcPr>
            <w:tcW w:w="5966" w:type="dxa"/>
            <w:tcBorders>
              <w:top w:val="single" w:color="auto" w:sz="4" w:space="0"/>
              <w:left w:val="single" w:color="auto" w:sz="4" w:space="0"/>
              <w:bottom w:val="single" w:color="auto" w:sz="4" w:space="0"/>
              <w:right w:val="single" w:color="auto" w:sz="4" w:space="0"/>
            </w:tcBorders>
            <w:vAlign w:val="center"/>
          </w:tcPr>
          <w:p w14:paraId="2BF1E198">
            <w:pPr>
              <w:snapToGrid w:val="0"/>
              <w:spacing w:line="240" w:lineRule="auto"/>
              <w:ind w:left="0" w:leftChars="0" w:right="0" w:rightChars="0" w:firstLine="0" w:firstLineChars="0"/>
              <w:jc w:val="left"/>
              <w:rPr>
                <w:rFonts w:hint="eastAsia" w:ascii="仿宋" w:hAnsi="宋体" w:eastAsia="仿宋" w:cs="宋体"/>
                <w:color w:val="auto"/>
                <w:sz w:val="24"/>
                <w:szCs w:val="28"/>
                <w:lang w:val="en-US" w:eastAsia="zh-CN"/>
              </w:rPr>
            </w:pPr>
            <w:r>
              <w:rPr>
                <w:rFonts w:hint="eastAsia" w:ascii="仿宋" w:hAnsi="宋体" w:eastAsia="仿宋" w:cs="宋体"/>
                <w:color w:val="auto"/>
                <w:sz w:val="24"/>
                <w:szCs w:val="28"/>
                <w:lang w:val="en-US" w:eastAsia="zh-CN"/>
              </w:rPr>
              <w:t>近三年处理劳务纠纷、劳动争议案件胜诉相关业绩：</w:t>
            </w:r>
          </w:p>
          <w:p w14:paraId="70C20315">
            <w:pPr>
              <w:snapToGrid w:val="0"/>
              <w:spacing w:line="240" w:lineRule="auto"/>
              <w:ind w:left="0" w:leftChars="0" w:right="0" w:rightChars="0" w:firstLine="0" w:firstLineChars="0"/>
              <w:jc w:val="left"/>
              <w:rPr>
                <w:rFonts w:hint="eastAsia" w:ascii="仿宋" w:hAnsi="宋体" w:eastAsia="仿宋" w:cs="宋体"/>
                <w:color w:val="auto"/>
                <w:sz w:val="24"/>
                <w:szCs w:val="28"/>
                <w:lang w:val="en-US" w:eastAsia="zh-CN"/>
              </w:rPr>
            </w:pPr>
            <w:r>
              <w:rPr>
                <w:rFonts w:hint="eastAsia" w:ascii="仿宋" w:hAnsi="宋体" w:eastAsia="仿宋" w:cs="宋体"/>
                <w:color w:val="auto"/>
                <w:sz w:val="24"/>
                <w:szCs w:val="28"/>
                <w:lang w:val="en-US" w:eastAsia="zh-CN"/>
              </w:rPr>
              <w:t>（1）0-15件--1分</w:t>
            </w:r>
          </w:p>
          <w:p w14:paraId="59CE408B">
            <w:pPr>
              <w:snapToGrid w:val="0"/>
              <w:spacing w:line="240" w:lineRule="auto"/>
              <w:ind w:left="0" w:leftChars="0" w:right="0" w:rightChars="0" w:firstLine="0" w:firstLineChars="0"/>
              <w:jc w:val="left"/>
              <w:rPr>
                <w:rFonts w:hint="eastAsia" w:ascii="仿宋" w:hAnsi="宋体" w:eastAsia="仿宋" w:cs="宋体"/>
                <w:color w:val="auto"/>
                <w:sz w:val="24"/>
                <w:szCs w:val="28"/>
                <w:lang w:val="en-US" w:eastAsia="zh-CN"/>
              </w:rPr>
            </w:pPr>
            <w:r>
              <w:rPr>
                <w:rFonts w:hint="eastAsia" w:ascii="仿宋" w:hAnsi="宋体" w:eastAsia="仿宋" w:cs="宋体"/>
                <w:color w:val="auto"/>
                <w:sz w:val="24"/>
                <w:szCs w:val="28"/>
                <w:lang w:val="en-US" w:eastAsia="zh-CN"/>
              </w:rPr>
              <w:t>（2）15-30件--3分</w:t>
            </w:r>
          </w:p>
          <w:p w14:paraId="6218F905">
            <w:pPr>
              <w:snapToGrid w:val="0"/>
              <w:spacing w:line="240" w:lineRule="auto"/>
              <w:ind w:left="0" w:leftChars="0" w:right="0" w:rightChars="0" w:firstLine="0" w:firstLineChars="0"/>
              <w:jc w:val="left"/>
              <w:rPr>
                <w:rFonts w:hint="default" w:ascii="仿宋" w:hAnsi="宋体" w:eastAsia="仿宋" w:cs="宋体"/>
                <w:color w:val="auto"/>
                <w:sz w:val="24"/>
                <w:szCs w:val="28"/>
                <w:lang w:val="en-US" w:eastAsia="zh-CN"/>
              </w:rPr>
            </w:pPr>
            <w:r>
              <w:rPr>
                <w:rFonts w:hint="eastAsia" w:ascii="仿宋" w:hAnsi="宋体" w:eastAsia="仿宋" w:cs="宋体"/>
                <w:color w:val="auto"/>
                <w:sz w:val="24"/>
                <w:szCs w:val="28"/>
                <w:lang w:val="en-US" w:eastAsia="zh-CN"/>
              </w:rPr>
              <w:t>（3）30件以上--5分</w:t>
            </w:r>
          </w:p>
        </w:tc>
      </w:tr>
      <w:tr w14:paraId="2D0B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6" w:hRule="atLeast"/>
        </w:trPr>
        <w:tc>
          <w:tcPr>
            <w:tcW w:w="827" w:type="dxa"/>
            <w:tcBorders>
              <w:top w:val="single" w:color="auto" w:sz="4" w:space="0"/>
              <w:left w:val="single" w:color="auto" w:sz="4" w:space="0"/>
              <w:right w:val="single" w:color="auto" w:sz="4" w:space="0"/>
            </w:tcBorders>
            <w:vAlign w:val="center"/>
          </w:tcPr>
          <w:p w14:paraId="024BF579">
            <w:pPr>
              <w:snapToGrid w:val="0"/>
              <w:spacing w:line="240" w:lineRule="auto"/>
              <w:ind w:left="0" w:leftChars="0" w:right="0" w:rightChars="0" w:firstLine="0" w:firstLineChars="0"/>
              <w:jc w:val="center"/>
              <w:rPr>
                <w:rFonts w:hint="eastAsia" w:ascii="仿宋" w:hAnsi="仿宋" w:eastAsia="仿宋" w:cs="仿宋"/>
                <w:color w:val="auto"/>
                <w:sz w:val="24"/>
                <w:szCs w:val="28"/>
                <w:lang w:eastAsia="zh-CN"/>
              </w:rPr>
            </w:pPr>
            <w:r>
              <w:rPr>
                <w:rFonts w:hint="eastAsia" w:ascii="仿宋" w:hAnsi="仿宋" w:eastAsia="仿宋" w:cs="仿宋"/>
                <w:color w:val="auto"/>
                <w:sz w:val="24"/>
                <w:szCs w:val="28"/>
                <w:lang w:val="en-US" w:eastAsia="zh-CN"/>
              </w:rPr>
              <w:t>5</w:t>
            </w:r>
          </w:p>
        </w:tc>
        <w:tc>
          <w:tcPr>
            <w:tcW w:w="1896" w:type="dxa"/>
            <w:tcBorders>
              <w:top w:val="single" w:color="auto" w:sz="4" w:space="0"/>
              <w:left w:val="single" w:color="auto" w:sz="4" w:space="0"/>
              <w:right w:val="single" w:color="auto" w:sz="4" w:space="0"/>
            </w:tcBorders>
            <w:vAlign w:val="center"/>
          </w:tcPr>
          <w:p w14:paraId="4171502C">
            <w:pPr>
              <w:snapToGrid w:val="0"/>
              <w:spacing w:line="240" w:lineRule="auto"/>
              <w:ind w:left="0" w:leftChars="0" w:right="0" w:rightChars="0"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项目服务方案综合评分</w:t>
            </w:r>
          </w:p>
          <w:p w14:paraId="42329B0D">
            <w:pPr>
              <w:snapToGrid w:val="0"/>
              <w:spacing w:line="240" w:lineRule="auto"/>
              <w:ind w:left="0" w:leftChars="0" w:right="0" w:rightChars="0"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45分</w:t>
            </w:r>
            <w:r>
              <w:rPr>
                <w:rFonts w:hint="eastAsia" w:ascii="仿宋" w:hAnsi="仿宋" w:eastAsia="仿宋" w:cs="仿宋"/>
                <w:color w:val="auto"/>
                <w:sz w:val="24"/>
                <w:szCs w:val="24"/>
                <w:lang w:eastAsia="zh-CN"/>
              </w:rPr>
              <w:t>）</w:t>
            </w:r>
          </w:p>
        </w:tc>
        <w:tc>
          <w:tcPr>
            <w:tcW w:w="5966" w:type="dxa"/>
            <w:tcBorders>
              <w:top w:val="single" w:color="auto" w:sz="4" w:space="0"/>
              <w:left w:val="single" w:color="auto" w:sz="4" w:space="0"/>
              <w:right w:val="single" w:color="auto" w:sz="4" w:space="0"/>
            </w:tcBorders>
            <w:vAlign w:val="center"/>
          </w:tcPr>
          <w:p w14:paraId="3CC3813E">
            <w:pPr>
              <w:snapToGrid w:val="0"/>
              <w:spacing w:line="240" w:lineRule="auto"/>
              <w:ind w:left="0" w:leftChars="0" w:right="0" w:rightChars="0" w:firstLine="0" w:firstLineChars="0"/>
              <w:jc w:val="left"/>
              <w:rPr>
                <w:rFonts w:hint="default" w:ascii="仿宋" w:hAnsi="宋体" w:eastAsia="仿宋" w:cs="宋体"/>
                <w:color w:val="auto"/>
                <w:sz w:val="24"/>
                <w:szCs w:val="28"/>
                <w:lang w:val="en-US" w:eastAsia="zh-CN"/>
              </w:rPr>
            </w:pPr>
            <w:r>
              <w:rPr>
                <w:rFonts w:hint="eastAsia" w:ascii="仿宋" w:hAnsi="宋体" w:eastAsia="仿宋" w:cs="宋体"/>
                <w:color w:val="auto"/>
                <w:sz w:val="24"/>
                <w:szCs w:val="28"/>
                <w:lang w:val="en-US" w:eastAsia="zh-CN"/>
              </w:rPr>
              <w:t>服务方案需现场答疑，评审小组结合比选申请文件及现场答疑情况对服务方案进行综合评分：</w:t>
            </w:r>
          </w:p>
          <w:p w14:paraId="01482FF2">
            <w:pPr>
              <w:snapToGrid w:val="0"/>
              <w:spacing w:line="240" w:lineRule="auto"/>
              <w:ind w:left="0" w:leftChars="0" w:right="0" w:rightChars="0" w:firstLine="0" w:firstLineChars="0"/>
              <w:jc w:val="left"/>
              <w:rPr>
                <w:rFonts w:hint="eastAsia" w:ascii="仿宋" w:hAnsi="宋体" w:eastAsia="仿宋" w:cs="宋体"/>
                <w:color w:val="auto"/>
                <w:sz w:val="24"/>
                <w:szCs w:val="28"/>
                <w:lang w:val="en-US" w:eastAsia="zh-CN"/>
              </w:rPr>
            </w:pPr>
            <w:r>
              <w:rPr>
                <w:rFonts w:hint="eastAsia" w:ascii="仿宋" w:hAnsi="宋体" w:eastAsia="仿宋" w:cs="宋体"/>
                <w:color w:val="auto"/>
                <w:sz w:val="24"/>
                <w:szCs w:val="28"/>
                <w:lang w:val="en-US" w:eastAsia="zh-CN"/>
              </w:rPr>
              <w:t>（1）未响应核心法律服务需求，服务内容缺项严重；服务思路模糊，无具体服务举措，完全未结合本单位法务、合规、业务风控等实际需求；不具备竞争优势—0-15分</w:t>
            </w:r>
          </w:p>
          <w:p w14:paraId="36159A8E">
            <w:pPr>
              <w:snapToGrid w:val="0"/>
              <w:spacing w:line="240" w:lineRule="auto"/>
              <w:ind w:left="0" w:leftChars="0" w:right="0" w:rightChars="0" w:firstLine="0" w:firstLineChars="0"/>
              <w:jc w:val="left"/>
              <w:rPr>
                <w:rFonts w:hint="default" w:ascii="仿宋" w:hAnsi="宋体" w:eastAsia="仿宋" w:cs="宋体"/>
                <w:color w:val="auto"/>
                <w:sz w:val="24"/>
                <w:szCs w:val="28"/>
                <w:lang w:val="en-US" w:eastAsia="zh-CN"/>
              </w:rPr>
            </w:pPr>
            <w:r>
              <w:rPr>
                <w:rFonts w:hint="eastAsia" w:ascii="仿宋" w:hAnsi="宋体" w:eastAsia="仿宋" w:cs="宋体"/>
                <w:color w:val="auto"/>
                <w:sz w:val="24"/>
                <w:szCs w:val="28"/>
                <w:lang w:val="en-US" w:eastAsia="zh-CN"/>
              </w:rPr>
              <w:t>（2）基本覆盖主要常年法律服务事项，部分需求响应不完整；服务内容、常规举措表述笼统，仅简单对应基础法务需求，针对性不足；具备竞争优势—16-30分</w:t>
            </w:r>
          </w:p>
          <w:p w14:paraId="476FFE09">
            <w:pPr>
              <w:snapToGrid w:val="0"/>
              <w:spacing w:line="240" w:lineRule="auto"/>
              <w:ind w:left="0" w:leftChars="0" w:right="0" w:rightChars="0" w:firstLine="0" w:firstLineChars="0"/>
              <w:jc w:val="left"/>
              <w:rPr>
                <w:rFonts w:hint="default" w:ascii="宋体" w:hAnsi="宋体" w:eastAsia="宋体" w:cs="宋体"/>
                <w:color w:val="auto"/>
                <w:sz w:val="24"/>
                <w:szCs w:val="24"/>
                <w:lang w:val="en-US" w:eastAsia="zh-CN"/>
              </w:rPr>
            </w:pPr>
            <w:r>
              <w:rPr>
                <w:rFonts w:hint="eastAsia" w:ascii="仿宋" w:hAnsi="宋体" w:eastAsia="仿宋" w:cs="宋体"/>
                <w:color w:val="auto"/>
                <w:sz w:val="24"/>
                <w:szCs w:val="28"/>
                <w:lang w:val="en-US" w:eastAsia="zh-CN"/>
              </w:rPr>
              <w:t>（3）全面响应全部常年法律顾问服务需求，无遗漏、无偏离；服务内容详实、举措具体完善，充分结合法律咨询、文件审核、合规管控、纠纷处置、内部支撑等各类法务工作需求，适配性强；竞争优势明显—31-45</w:t>
            </w:r>
            <w:bookmarkStart w:id="0" w:name="_GoBack"/>
            <w:bookmarkEnd w:id="0"/>
            <w:r>
              <w:rPr>
                <w:rFonts w:hint="eastAsia" w:ascii="仿宋" w:hAnsi="宋体" w:eastAsia="仿宋" w:cs="宋体"/>
                <w:color w:val="auto"/>
                <w:sz w:val="24"/>
                <w:szCs w:val="28"/>
                <w:lang w:val="en-US" w:eastAsia="zh-CN"/>
              </w:rPr>
              <w:t>分</w:t>
            </w:r>
          </w:p>
        </w:tc>
      </w:tr>
      <w:tr w14:paraId="2441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827" w:type="dxa"/>
            <w:tcBorders>
              <w:top w:val="single" w:color="auto" w:sz="4" w:space="0"/>
              <w:left w:val="single" w:color="auto" w:sz="4" w:space="0"/>
              <w:bottom w:val="single" w:color="auto" w:sz="4" w:space="0"/>
              <w:right w:val="single" w:color="auto" w:sz="4" w:space="0"/>
            </w:tcBorders>
            <w:vAlign w:val="center"/>
          </w:tcPr>
          <w:p w14:paraId="3556CB55">
            <w:pPr>
              <w:snapToGrid w:val="0"/>
              <w:spacing w:line="240" w:lineRule="auto"/>
              <w:ind w:left="0" w:leftChars="0" w:right="0" w:rightChars="0" w:firstLine="0" w:firstLineChars="0"/>
              <w:jc w:val="center"/>
              <w:rPr>
                <w:rFonts w:hint="eastAsia" w:ascii="仿宋" w:hAnsi="仿宋" w:eastAsia="仿宋" w:cs="仿宋"/>
                <w:color w:val="auto"/>
                <w:sz w:val="24"/>
                <w:szCs w:val="28"/>
                <w:lang w:eastAsia="zh-CN"/>
              </w:rPr>
            </w:pPr>
            <w:r>
              <w:rPr>
                <w:rFonts w:hint="eastAsia" w:ascii="仿宋" w:hAnsi="仿宋" w:eastAsia="仿宋" w:cs="仿宋"/>
                <w:color w:val="auto"/>
                <w:sz w:val="24"/>
                <w:szCs w:val="28"/>
                <w:lang w:val="en-US" w:eastAsia="zh-CN"/>
              </w:rPr>
              <w:t>6</w:t>
            </w:r>
          </w:p>
        </w:tc>
        <w:tc>
          <w:tcPr>
            <w:tcW w:w="1896" w:type="dxa"/>
            <w:tcBorders>
              <w:top w:val="single" w:color="auto" w:sz="4" w:space="0"/>
              <w:left w:val="single" w:color="auto" w:sz="4" w:space="0"/>
              <w:bottom w:val="single" w:color="auto" w:sz="4" w:space="0"/>
              <w:right w:val="single" w:color="auto" w:sz="4" w:space="0"/>
            </w:tcBorders>
            <w:vAlign w:val="center"/>
          </w:tcPr>
          <w:p w14:paraId="08924D3D">
            <w:pPr>
              <w:snapToGrid w:val="0"/>
              <w:spacing w:line="240" w:lineRule="auto"/>
              <w:ind w:left="0" w:leftChars="0" w:right="0" w:rightChars="0" w:firstLine="0" w:firstLineChars="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报价</w:t>
            </w:r>
            <w:r>
              <w:rPr>
                <w:rFonts w:hint="eastAsia" w:ascii="仿宋" w:hAnsi="仿宋" w:eastAsia="仿宋" w:cs="仿宋"/>
                <w:color w:val="auto"/>
                <w:sz w:val="24"/>
                <w:szCs w:val="24"/>
              </w:rPr>
              <w:br w:type="textWrapping"/>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20分</w:t>
            </w:r>
            <w:r>
              <w:rPr>
                <w:rFonts w:hint="eastAsia" w:ascii="仿宋" w:hAnsi="仿宋" w:eastAsia="仿宋" w:cs="仿宋"/>
                <w:color w:val="auto"/>
                <w:sz w:val="24"/>
                <w:szCs w:val="24"/>
                <w:lang w:eastAsia="zh-CN"/>
              </w:rPr>
              <w:t>）</w:t>
            </w:r>
          </w:p>
        </w:tc>
        <w:tc>
          <w:tcPr>
            <w:tcW w:w="5966" w:type="dxa"/>
            <w:tcBorders>
              <w:top w:val="single" w:color="auto" w:sz="4" w:space="0"/>
              <w:left w:val="single" w:color="auto" w:sz="4" w:space="0"/>
              <w:bottom w:val="single" w:color="auto" w:sz="4" w:space="0"/>
              <w:right w:val="single" w:color="auto" w:sz="4" w:space="0"/>
            </w:tcBorders>
            <w:vAlign w:val="center"/>
          </w:tcPr>
          <w:p w14:paraId="5739118B">
            <w:pPr>
              <w:widowControl/>
              <w:snapToGrid w:val="0"/>
              <w:ind w:left="0" w:leftChars="0" w:right="0" w:rightChars="0" w:firstLine="0" w:firstLineChars="0"/>
              <w:jc w:val="left"/>
              <w:rPr>
                <w:rFonts w:hint="default" w:ascii="仿宋" w:hAnsi="仿宋" w:eastAsia="仿宋" w:cs="仿宋"/>
                <w:color w:val="auto"/>
                <w:sz w:val="24"/>
                <w:szCs w:val="24"/>
                <w:highlight w:val="yellow"/>
                <w:lang w:val="en-US" w:eastAsia="zh-CN"/>
              </w:rPr>
            </w:pPr>
            <w:r>
              <w:rPr>
                <w:rFonts w:hint="default" w:ascii="仿宋" w:hAnsi="仿宋" w:eastAsia="仿宋" w:cs="仿宋"/>
                <w:color w:val="auto"/>
                <w:sz w:val="24"/>
                <w:szCs w:val="24"/>
                <w:highlight w:val="none"/>
                <w:lang w:val="en-US" w:eastAsia="zh-CN"/>
              </w:rPr>
              <w:t>所有参选律所的有效报价计算算术平均值，作为基准报价。偏差率计算公式：偏差率 = 100%×（参选报价－评标基准价）÷ 评标基准价，偏差率不足 1% 采用直线内插法据实计算，单项最低0分。报价等于评标基准价得30分；报价高于基准价的，每上浮 1% 扣 0.</w:t>
            </w:r>
            <w:r>
              <w:rPr>
                <w:rFonts w:hint="eastAsia" w:ascii="仿宋" w:hAnsi="仿宋" w:eastAsia="仿宋" w:cs="仿宋"/>
                <w:color w:val="auto"/>
                <w:sz w:val="24"/>
                <w:szCs w:val="24"/>
                <w:highlight w:val="none"/>
                <w:lang w:val="en-US" w:eastAsia="zh-CN"/>
              </w:rPr>
              <w:t>2</w:t>
            </w:r>
            <w:r>
              <w:rPr>
                <w:rFonts w:hint="default" w:ascii="仿宋" w:hAnsi="仿宋" w:eastAsia="仿宋" w:cs="仿宋"/>
                <w:color w:val="auto"/>
                <w:sz w:val="24"/>
                <w:szCs w:val="24"/>
                <w:highlight w:val="none"/>
                <w:lang w:val="en-US" w:eastAsia="zh-CN"/>
              </w:rPr>
              <w:t xml:space="preserve"> 分；报价低于基准价的，每下浮 1% 扣 0.</w:t>
            </w:r>
            <w:r>
              <w:rPr>
                <w:rFonts w:hint="eastAsia" w:ascii="仿宋" w:hAnsi="仿宋" w:eastAsia="仿宋" w:cs="仿宋"/>
                <w:color w:val="auto"/>
                <w:sz w:val="24"/>
                <w:szCs w:val="24"/>
                <w:highlight w:val="none"/>
                <w:lang w:val="en-US" w:eastAsia="zh-CN"/>
              </w:rPr>
              <w:t>1</w:t>
            </w:r>
            <w:r>
              <w:rPr>
                <w:rFonts w:hint="default" w:ascii="仿宋" w:hAnsi="仿宋" w:eastAsia="仿宋" w:cs="仿宋"/>
                <w:color w:val="auto"/>
                <w:sz w:val="24"/>
                <w:szCs w:val="24"/>
                <w:highlight w:val="none"/>
                <w:lang w:val="en-US" w:eastAsia="zh-CN"/>
              </w:rPr>
              <w:t xml:space="preserve"> 分。</w:t>
            </w:r>
          </w:p>
        </w:tc>
      </w:tr>
      <w:tr w14:paraId="3D8E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7" w:type="dxa"/>
            <w:tcBorders>
              <w:top w:val="single" w:color="auto" w:sz="4" w:space="0"/>
              <w:left w:val="single" w:color="auto" w:sz="4" w:space="0"/>
              <w:bottom w:val="single" w:color="auto" w:sz="4" w:space="0"/>
              <w:right w:val="single" w:color="auto" w:sz="4" w:space="0"/>
            </w:tcBorders>
            <w:vAlign w:val="center"/>
          </w:tcPr>
          <w:p w14:paraId="2AA870A6">
            <w:pPr>
              <w:snapToGrid w:val="0"/>
              <w:spacing w:line="240" w:lineRule="auto"/>
              <w:ind w:left="0" w:leftChars="0" w:right="0" w:rightChars="0" w:firstLine="0" w:firstLineChars="0"/>
              <w:jc w:val="center"/>
              <w:rPr>
                <w:rFonts w:hint="eastAsia" w:ascii="仿宋" w:hAnsi="仿宋" w:eastAsia="仿宋" w:cs="仿宋"/>
                <w:color w:val="auto"/>
                <w:sz w:val="24"/>
                <w:szCs w:val="28"/>
                <w:lang w:eastAsia="zh-CN"/>
              </w:rPr>
            </w:pPr>
            <w:r>
              <w:rPr>
                <w:rFonts w:hint="eastAsia" w:ascii="仿宋" w:hAnsi="仿宋" w:eastAsia="仿宋" w:cs="仿宋"/>
                <w:color w:val="auto"/>
                <w:sz w:val="24"/>
                <w:szCs w:val="28"/>
                <w:lang w:val="en-US" w:eastAsia="zh-CN"/>
              </w:rPr>
              <w:t>7</w:t>
            </w:r>
          </w:p>
        </w:tc>
        <w:tc>
          <w:tcPr>
            <w:tcW w:w="1896" w:type="dxa"/>
            <w:tcBorders>
              <w:top w:val="single" w:color="auto" w:sz="4" w:space="0"/>
              <w:left w:val="single" w:color="auto" w:sz="4" w:space="0"/>
              <w:bottom w:val="single" w:color="auto" w:sz="4" w:space="0"/>
              <w:right w:val="single" w:color="auto" w:sz="4" w:space="0"/>
            </w:tcBorders>
            <w:vAlign w:val="center"/>
          </w:tcPr>
          <w:p w14:paraId="68160B9D">
            <w:pPr>
              <w:snapToGrid w:val="0"/>
              <w:spacing w:line="240" w:lineRule="auto"/>
              <w:ind w:left="0" w:leftChars="0" w:right="0" w:rightChars="0"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比选文件</w:t>
            </w:r>
            <w:r>
              <w:rPr>
                <w:rFonts w:hint="eastAsia" w:ascii="仿宋" w:hAnsi="仿宋" w:eastAsia="仿宋" w:cs="仿宋"/>
                <w:color w:val="auto"/>
                <w:sz w:val="24"/>
                <w:szCs w:val="24"/>
                <w:lang w:val="en-US" w:eastAsia="zh-CN"/>
              </w:rPr>
              <w:t>质量</w:t>
            </w:r>
            <w:r>
              <w:rPr>
                <w:rFonts w:hint="eastAsia" w:ascii="仿宋" w:hAnsi="仿宋" w:eastAsia="仿宋" w:cs="仿宋"/>
                <w:color w:val="auto"/>
                <w:sz w:val="24"/>
                <w:szCs w:val="24"/>
                <w:lang w:val="en-US" w:eastAsia="zh-CN"/>
              </w:rPr>
              <w:br w:type="textWrapping"/>
            </w:r>
            <w:r>
              <w:rPr>
                <w:rFonts w:hint="eastAsia" w:ascii="仿宋" w:hAnsi="仿宋" w:eastAsia="仿宋" w:cs="仿宋"/>
                <w:color w:val="auto"/>
                <w:sz w:val="24"/>
                <w:szCs w:val="24"/>
                <w:lang w:val="en-US" w:eastAsia="zh-CN"/>
              </w:rPr>
              <w:t>（2分）</w:t>
            </w:r>
          </w:p>
        </w:tc>
        <w:tc>
          <w:tcPr>
            <w:tcW w:w="5966" w:type="dxa"/>
            <w:tcBorders>
              <w:top w:val="single" w:color="auto" w:sz="4" w:space="0"/>
              <w:left w:val="single" w:color="auto" w:sz="4" w:space="0"/>
              <w:bottom w:val="single" w:color="auto" w:sz="4" w:space="0"/>
              <w:right w:val="single" w:color="auto" w:sz="4" w:space="0"/>
            </w:tcBorders>
            <w:vAlign w:val="center"/>
          </w:tcPr>
          <w:p w14:paraId="113F3B5D">
            <w:pPr>
              <w:numPr>
                <w:ilvl w:val="0"/>
                <w:numId w:val="0"/>
              </w:numPr>
              <w:snapToGrid w:val="0"/>
              <w:spacing w:line="240" w:lineRule="auto"/>
              <w:ind w:right="0" w:rightChars="0"/>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格式规范、符合比选文件要求（0-2分）</w:t>
            </w:r>
          </w:p>
        </w:tc>
      </w:tr>
      <w:tr w14:paraId="0E54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723" w:type="dxa"/>
            <w:gridSpan w:val="2"/>
            <w:tcBorders>
              <w:top w:val="single" w:color="auto" w:sz="4" w:space="0"/>
              <w:left w:val="single" w:color="auto" w:sz="4" w:space="0"/>
              <w:bottom w:val="single" w:color="auto" w:sz="4" w:space="0"/>
              <w:right w:val="single" w:color="auto" w:sz="4" w:space="0"/>
            </w:tcBorders>
            <w:vAlign w:val="center"/>
          </w:tcPr>
          <w:p w14:paraId="5565D575">
            <w:pPr>
              <w:snapToGrid w:val="0"/>
              <w:spacing w:line="240" w:lineRule="auto"/>
              <w:ind w:left="0" w:leftChars="0" w:right="0" w:rightChars="0" w:firstLine="0" w:firstLineChars="0"/>
              <w:jc w:val="center"/>
              <w:rPr>
                <w:rFonts w:ascii="仿宋" w:hAnsi="仿宋" w:eastAsia="仿宋" w:cs="仿宋"/>
                <w:b/>
                <w:color w:val="auto"/>
                <w:sz w:val="24"/>
                <w:szCs w:val="28"/>
              </w:rPr>
            </w:pPr>
            <w:r>
              <w:rPr>
                <w:rFonts w:hint="eastAsia" w:ascii="仿宋" w:hAnsi="仿宋" w:eastAsia="仿宋" w:cs="仿宋"/>
                <w:b/>
                <w:color w:val="auto"/>
                <w:sz w:val="24"/>
                <w:szCs w:val="28"/>
              </w:rPr>
              <w:t>总计</w:t>
            </w:r>
          </w:p>
        </w:tc>
        <w:tc>
          <w:tcPr>
            <w:tcW w:w="5966" w:type="dxa"/>
            <w:tcBorders>
              <w:top w:val="single" w:color="auto" w:sz="4" w:space="0"/>
              <w:left w:val="single" w:color="auto" w:sz="4" w:space="0"/>
              <w:bottom w:val="single" w:color="auto" w:sz="4" w:space="0"/>
              <w:right w:val="single" w:color="auto" w:sz="4" w:space="0"/>
            </w:tcBorders>
            <w:vAlign w:val="center"/>
          </w:tcPr>
          <w:p w14:paraId="0B3C2EA0">
            <w:pPr>
              <w:snapToGrid w:val="0"/>
              <w:spacing w:line="240" w:lineRule="auto"/>
              <w:ind w:left="0" w:leftChars="0" w:right="0" w:rightChars="0" w:firstLine="0" w:firstLineChars="0"/>
              <w:jc w:val="center"/>
              <w:rPr>
                <w:rFonts w:hint="default" w:ascii="仿宋" w:hAnsi="仿宋" w:eastAsia="仿宋" w:cs="仿宋"/>
                <w:b/>
                <w:color w:val="auto"/>
                <w:sz w:val="24"/>
                <w:szCs w:val="28"/>
                <w:lang w:val="en-US" w:eastAsia="zh-CN"/>
              </w:rPr>
            </w:pPr>
            <w:r>
              <w:rPr>
                <w:rFonts w:hint="eastAsia" w:ascii="仿宋" w:hAnsi="仿宋" w:eastAsia="仿宋" w:cs="仿宋"/>
                <w:b/>
                <w:color w:val="auto"/>
                <w:sz w:val="24"/>
                <w:szCs w:val="28"/>
                <w:lang w:val="en-US" w:eastAsia="zh-CN"/>
              </w:rPr>
              <w:t>100分</w:t>
            </w:r>
          </w:p>
        </w:tc>
      </w:tr>
    </w:tbl>
    <w:p w14:paraId="594EB338">
      <w:pPr>
        <w:rPr>
          <w:rFonts w:hint="eastAsia" w:ascii="黑体" w:hAnsi="黑体" w:eastAsia="黑体" w:cs="黑体"/>
          <w:sz w:val="28"/>
          <w:szCs w:val="32"/>
          <w:lang w:val="en-US" w:eastAsia="zh-CN"/>
        </w:rPr>
      </w:pPr>
    </w:p>
    <w:p w14:paraId="4B090324">
      <w:pPr>
        <w:jc w:val="both"/>
        <w:rPr>
          <w:rFonts w:hint="eastAsia" w:ascii="方正小标宋简体" w:hAnsi="方正小标宋简体" w:eastAsia="方正小标宋简体" w:cs="方正小标宋简体"/>
          <w:sz w:val="44"/>
          <w:szCs w:val="48"/>
          <w:lang w:val="en-US" w:eastAsia="zh-CN"/>
        </w:rPr>
      </w:pPr>
    </w:p>
    <w:p w14:paraId="67BE7FDC">
      <w:pPr>
        <w:bidi w:val="0"/>
        <w:rPr>
          <w:rFonts w:hint="eastAsia" w:asciiTheme="minorHAnsi" w:hAnsiTheme="minorHAnsi" w:eastAsiaTheme="minorEastAsia" w:cstheme="minorBidi"/>
          <w:kern w:val="2"/>
          <w:sz w:val="21"/>
          <w:szCs w:val="22"/>
          <w:lang w:val="en-US" w:eastAsia="zh-CN" w:bidi="ar-SA"/>
        </w:rPr>
      </w:pPr>
    </w:p>
    <w:p w14:paraId="7475105E">
      <w:pPr>
        <w:bidi w:val="0"/>
        <w:rPr>
          <w:rFonts w:hint="eastAsia"/>
          <w:lang w:val="en-US" w:eastAsia="zh-CN"/>
        </w:rPr>
      </w:pPr>
    </w:p>
    <w:p w14:paraId="6AFE56B0">
      <w:pPr>
        <w:bidi w:val="0"/>
        <w:rPr>
          <w:rFonts w:hint="eastAsia"/>
          <w:lang w:val="en-US" w:eastAsia="zh-CN"/>
        </w:rPr>
      </w:pPr>
    </w:p>
    <w:p w14:paraId="6277C1A2">
      <w:pPr>
        <w:bidi w:val="0"/>
        <w:rPr>
          <w:rFonts w:hint="eastAsia"/>
          <w:lang w:val="en-US" w:eastAsia="zh-CN"/>
        </w:rPr>
      </w:pPr>
    </w:p>
    <w:p w14:paraId="6FB92A71">
      <w:pPr>
        <w:bidi w:val="0"/>
        <w:rPr>
          <w:rFonts w:hint="eastAsia"/>
          <w:lang w:val="en-US" w:eastAsia="zh-CN"/>
        </w:rPr>
      </w:pPr>
    </w:p>
    <w:p w14:paraId="1C67FDB0">
      <w:pPr>
        <w:bidi w:val="0"/>
        <w:rPr>
          <w:rFonts w:hint="eastAsia"/>
          <w:lang w:val="en-US" w:eastAsia="zh-CN"/>
        </w:rPr>
      </w:pPr>
    </w:p>
    <w:p w14:paraId="559749C3">
      <w:pPr>
        <w:bidi w:val="0"/>
        <w:rPr>
          <w:rFonts w:hint="eastAsia"/>
          <w:lang w:val="en-US" w:eastAsia="zh-CN"/>
        </w:rPr>
      </w:pPr>
    </w:p>
    <w:p w14:paraId="6CBA0AF9">
      <w:pPr>
        <w:bidi w:val="0"/>
        <w:rPr>
          <w:rFonts w:hint="eastAsia"/>
          <w:lang w:val="en-US" w:eastAsia="zh-CN"/>
        </w:rPr>
      </w:pPr>
    </w:p>
    <w:p w14:paraId="18B596FD">
      <w:pPr>
        <w:bidi w:val="0"/>
        <w:rPr>
          <w:rFonts w:hint="eastAsia"/>
          <w:lang w:val="en-US" w:eastAsia="zh-CN"/>
        </w:rPr>
      </w:pPr>
    </w:p>
    <w:p w14:paraId="6B30CFD9">
      <w:pPr>
        <w:bidi w:val="0"/>
        <w:rPr>
          <w:rFonts w:hint="eastAsia"/>
          <w:lang w:val="en-US" w:eastAsia="zh-CN"/>
        </w:rPr>
      </w:pPr>
    </w:p>
    <w:p w14:paraId="39BF60E2">
      <w:pPr>
        <w:bidi w:val="0"/>
        <w:rPr>
          <w:rFonts w:hint="eastAsia"/>
          <w:lang w:val="en-US" w:eastAsia="zh-CN"/>
        </w:rPr>
      </w:pPr>
    </w:p>
    <w:p w14:paraId="3B14CC8F">
      <w:pPr>
        <w:bidi w:val="0"/>
        <w:rPr>
          <w:rFonts w:hint="eastAsia"/>
          <w:lang w:val="en-US" w:eastAsia="zh-CN"/>
        </w:rPr>
      </w:pPr>
    </w:p>
    <w:p w14:paraId="65CBC069">
      <w:pPr>
        <w:bidi w:val="0"/>
        <w:rPr>
          <w:rFonts w:hint="eastAsia"/>
          <w:lang w:val="en-US" w:eastAsia="zh-CN"/>
        </w:rPr>
      </w:pPr>
    </w:p>
    <w:p w14:paraId="0B49F48B">
      <w:pPr>
        <w:bidi w:val="0"/>
        <w:rPr>
          <w:rFonts w:hint="eastAsia"/>
          <w:lang w:val="en-US" w:eastAsia="zh-CN"/>
        </w:rPr>
      </w:pPr>
    </w:p>
    <w:p w14:paraId="70D294D4">
      <w:pPr>
        <w:bidi w:val="0"/>
        <w:rPr>
          <w:rFonts w:hint="eastAsia"/>
          <w:lang w:val="en-US" w:eastAsia="zh-CN"/>
        </w:rPr>
      </w:pPr>
    </w:p>
    <w:p w14:paraId="25F19FCB">
      <w:pPr>
        <w:bidi w:val="0"/>
        <w:rPr>
          <w:rFonts w:hint="eastAsia"/>
          <w:lang w:val="en-US" w:eastAsia="zh-CN"/>
        </w:rPr>
      </w:pPr>
    </w:p>
    <w:p w14:paraId="5F0D075D">
      <w:pPr>
        <w:bidi w:val="0"/>
        <w:rPr>
          <w:rFonts w:hint="eastAsia"/>
          <w:lang w:val="en-US" w:eastAsia="zh-CN"/>
        </w:rPr>
      </w:pPr>
    </w:p>
    <w:p w14:paraId="7DA55553">
      <w:pPr>
        <w:bidi w:val="0"/>
        <w:rPr>
          <w:rFonts w:hint="eastAsia"/>
          <w:lang w:val="en-US" w:eastAsia="zh-CN"/>
        </w:rPr>
      </w:pPr>
    </w:p>
    <w:p w14:paraId="6757870B">
      <w:pPr>
        <w:bidi w:val="0"/>
        <w:jc w:val="right"/>
        <w:rPr>
          <w:rFonts w:hint="eastAsia"/>
          <w:lang w:val="en-US" w:eastAsia="zh-CN"/>
        </w:rPr>
      </w:pPr>
    </w:p>
    <w:p w14:paraId="50A4CC13">
      <w:pPr>
        <w:widowControl/>
        <w:snapToGrid w:val="0"/>
        <w:ind w:left="0" w:leftChars="0" w:right="0" w:rightChars="0" w:firstLine="0" w:firstLineChars="0"/>
        <w:jc w:val="left"/>
        <w:rPr>
          <w:rFonts w:hint="eastAsia" w:ascii="仿宋" w:hAnsi="仿宋" w:eastAsia="仿宋" w:cs="仿宋"/>
          <w:color w:val="auto"/>
          <w:sz w:val="24"/>
          <w:szCs w:val="24"/>
          <w:highlight w:val="none"/>
          <w:lang w:val="en-US" w:eastAsia="zh-CN"/>
        </w:rPr>
      </w:pPr>
      <w:r>
        <w:rPr>
          <w:rFonts w:hint="eastAsia"/>
          <w:lang w:val="en-US" w:eastAsia="zh-CN"/>
        </w:rPr>
        <w:t xml:space="preserve">                                                                                   </w:t>
      </w:r>
      <w:r>
        <w:rPr>
          <w:rFonts w:hint="eastAsia" w:ascii="仿宋" w:hAnsi="仿宋" w:eastAsia="仿宋" w:cs="仿宋"/>
          <w:color w:val="auto"/>
          <w:sz w:val="24"/>
          <w:szCs w:val="24"/>
          <w:highlight w:val="none"/>
          <w:lang w:val="en-US" w:eastAsia="zh-CN"/>
        </w:rPr>
        <w:t>评分人员：</w:t>
      </w:r>
    </w:p>
    <w:p w14:paraId="130BD040">
      <w:pPr>
        <w:widowControl/>
        <w:snapToGrid w:val="0"/>
        <w:ind w:left="0" w:leftChars="0" w:right="0" w:rightChars="0" w:firstLine="0" w:firstLineChars="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                                                                             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1912FB"/>
    <w:rsid w:val="01714809"/>
    <w:rsid w:val="02027742"/>
    <w:rsid w:val="03FD2384"/>
    <w:rsid w:val="0C6D3E1F"/>
    <w:rsid w:val="0EFE5D30"/>
    <w:rsid w:val="0FD22917"/>
    <w:rsid w:val="0FD541B5"/>
    <w:rsid w:val="125F0A40"/>
    <w:rsid w:val="13113756"/>
    <w:rsid w:val="151912FB"/>
    <w:rsid w:val="16924BAE"/>
    <w:rsid w:val="172C5003"/>
    <w:rsid w:val="1C23109C"/>
    <w:rsid w:val="1D850C9D"/>
    <w:rsid w:val="21C5052E"/>
    <w:rsid w:val="26D905D7"/>
    <w:rsid w:val="2AF7727E"/>
    <w:rsid w:val="2C363DD6"/>
    <w:rsid w:val="2C881243"/>
    <w:rsid w:val="2EEE0998"/>
    <w:rsid w:val="32A73338"/>
    <w:rsid w:val="33D26ADA"/>
    <w:rsid w:val="3CC04858"/>
    <w:rsid w:val="3CEC0DBA"/>
    <w:rsid w:val="406B1354"/>
    <w:rsid w:val="41852ECC"/>
    <w:rsid w:val="4342424E"/>
    <w:rsid w:val="45F35A54"/>
    <w:rsid w:val="49E35145"/>
    <w:rsid w:val="4B4A7ED0"/>
    <w:rsid w:val="4CE92A73"/>
    <w:rsid w:val="4DEE364F"/>
    <w:rsid w:val="4ECB2E5C"/>
    <w:rsid w:val="4F912F4E"/>
    <w:rsid w:val="5015592D"/>
    <w:rsid w:val="505521CD"/>
    <w:rsid w:val="53AE66A0"/>
    <w:rsid w:val="57803FD4"/>
    <w:rsid w:val="5A1F7AD4"/>
    <w:rsid w:val="5A613292"/>
    <w:rsid w:val="5BA74384"/>
    <w:rsid w:val="5BCB6CFF"/>
    <w:rsid w:val="5C642116"/>
    <w:rsid w:val="5CE3042F"/>
    <w:rsid w:val="5D5E0913"/>
    <w:rsid w:val="5D8E722F"/>
    <w:rsid w:val="5D9A4CAE"/>
    <w:rsid w:val="5DCB1D21"/>
    <w:rsid w:val="600357A2"/>
    <w:rsid w:val="619D0B2C"/>
    <w:rsid w:val="623C4F9B"/>
    <w:rsid w:val="65326415"/>
    <w:rsid w:val="68607EBE"/>
    <w:rsid w:val="698711F2"/>
    <w:rsid w:val="6B96396E"/>
    <w:rsid w:val="6D714693"/>
    <w:rsid w:val="6DD47C6A"/>
    <w:rsid w:val="700B02ED"/>
    <w:rsid w:val="70433998"/>
    <w:rsid w:val="72DE4783"/>
    <w:rsid w:val="7315786E"/>
    <w:rsid w:val="76E61C4D"/>
    <w:rsid w:val="77615FF3"/>
    <w:rsid w:val="77C27899"/>
    <w:rsid w:val="79FD55A8"/>
    <w:rsid w:val="7A2462F5"/>
    <w:rsid w:val="7A94376E"/>
    <w:rsid w:val="7AD7346D"/>
    <w:rsid w:val="7B340AAD"/>
    <w:rsid w:val="7D9B5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720" w:firstLineChars="200"/>
      <w:outlineLvl w:val="0"/>
    </w:pPr>
    <w:rPr>
      <w:rFonts w:eastAsia="黑体" w:cs="Times New Roman" w:asciiTheme="minorAscii" w:hAnsiTheme="minorAscii"/>
      <w:kern w:val="44"/>
      <w:sz w:val="32"/>
    </w:rPr>
  </w:style>
  <w:style w:type="paragraph" w:styleId="3">
    <w:name w:val="heading 2"/>
    <w:basedOn w:val="1"/>
    <w:next w:val="1"/>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楷体_GB2312" w:cs="Times New Roman"/>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1106</Words>
  <Characters>1213</Characters>
  <Lines>0</Lines>
  <Paragraphs>0</Paragraphs>
  <TotalTime>12</TotalTime>
  <ScaleCrop>false</ScaleCrop>
  <LinksUpToDate>false</LinksUpToDate>
  <CharactersWithSpaces>1373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2026-06-05T02:57:00Z</dcterms:created>
  <dc:creator>CHENZCUI</dc:creator>
  <cp:lastModifiedBy>CHENZCUI</cp:lastModifiedBy>
  <cp:lastPrinted>2026-07-10T03:32:21Z</cp:lastPrinted>
  <dcterms:modified xsi:type="dcterms:W3CDTF">2026-07-10T05:47:22Z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AC2422371A6143CEA5ADCA872B12C17B_13</vt:lpwstr>
  </property>
  <property fmtid="{D5CDD505-2E9C-101B-9397-08002B2CF9AE}" pid="4" name="KSOTemplateDocerSaveRecord">
    <vt:lpwstr>eyJoZGlkIjoiZDE2NDg3ZGIzOTc4MzRhMjY4OTFmZDgwMDYxY2E0ZWEiLCJ1c2VySWQiOiIyNjc2MDkyNTgifQ==</vt:lpwstr>
  </property>
</Properties>
</file>