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2E2B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8"/>
          <w:lang w:val="en-US" w:eastAsia="zh-CN"/>
        </w:rPr>
        <w:t>评分表</w:t>
      </w:r>
    </w:p>
    <w:tbl>
      <w:tblPr>
        <w:tblStyle w:val="6"/>
        <w:tblpPr w:leftFromText="180" w:rightFromText="180" w:vertAnchor="page" w:horzAnchor="page" w:tblpX="1658" w:tblpY="3048"/>
        <w:tblOverlap w:val="never"/>
        <w:tblW w:w="86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896"/>
        <w:gridCol w:w="5966"/>
      </w:tblGrid>
      <w:tr w14:paraId="07CB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35F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15A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评价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内容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BBC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评价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标准</w:t>
            </w:r>
          </w:p>
        </w:tc>
      </w:tr>
      <w:tr w14:paraId="13A82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82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DDCEE">
            <w:pPr>
              <w:tabs>
                <w:tab w:val="left" w:pos="312"/>
              </w:tabs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18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3642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律所人员规模</w:t>
            </w:r>
          </w:p>
          <w:p w14:paraId="3197F378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（3分）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CEBF6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（1）重庆地区专职执业律师20-30人--1分</w:t>
            </w:r>
          </w:p>
          <w:p w14:paraId="7F9B019E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（2）重庆地区专职执业律师30-40人--2分</w:t>
            </w:r>
          </w:p>
          <w:p w14:paraId="494DD741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（3）重庆地区专职执业律师40人以上--3分</w:t>
            </w:r>
          </w:p>
        </w:tc>
      </w:tr>
      <w:tr w14:paraId="6ED6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7D2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2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000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律所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荣誉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4C81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所获荣誉，以所获最高奖励为标准：</w:t>
            </w:r>
          </w:p>
          <w:p w14:paraId="60B12F4E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（1）获得区级优秀律师事务所荣誉--1分</w:t>
            </w:r>
          </w:p>
          <w:p w14:paraId="0B8E6325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（2）获得市级优秀律师事务所荣誉--2分</w:t>
            </w:r>
          </w:p>
          <w:p w14:paraId="28B287D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（3）获得省级优秀律师事务所荣誉--3分</w:t>
            </w:r>
          </w:p>
          <w:p w14:paraId="77AD78D1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（4）获得国家级优秀律师事务所荣誉--4分</w:t>
            </w:r>
          </w:p>
        </w:tc>
      </w:tr>
      <w:tr w14:paraId="52CC8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76D8B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</w:rPr>
              <w:t>3</w:t>
            </w:r>
          </w:p>
          <w:p w14:paraId="79C3618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8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841B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团队综合实力</w:t>
            </w:r>
          </w:p>
          <w:p w14:paraId="3741380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（9分）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D8C2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主办律师执业年限，多个主办律师的取平均数计算（主办律师需为后续合同中约定的主办律师及主要联络人，并且为服务事项核心对接人）：</w:t>
            </w:r>
          </w:p>
          <w:p w14:paraId="57A7196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(1)执业年限5年-10年--2分</w:t>
            </w:r>
            <w:bookmarkStart w:id="0" w:name="_GoBack"/>
            <w:bookmarkEnd w:id="0"/>
          </w:p>
          <w:p w14:paraId="253B501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(2)执业年限10-15年--4分</w:t>
            </w:r>
          </w:p>
          <w:p w14:paraId="34B93C9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(3)执业年限15年以上--6分</w:t>
            </w:r>
          </w:p>
        </w:tc>
      </w:tr>
      <w:tr w14:paraId="588F9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EB47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color w:val="auto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7536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color w:val="auto"/>
              </w:rPr>
            </w:pP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8B6C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主办律师所获最高荣誉，不重复计数：</w:t>
            </w:r>
          </w:p>
          <w:p w14:paraId="4E756FD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（1）区级律协优秀律师称号--1分</w:t>
            </w:r>
          </w:p>
          <w:p w14:paraId="389D671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（2）市级律协优秀律师称号--2分</w:t>
            </w:r>
          </w:p>
          <w:p w14:paraId="5C32DD3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（3）省级律协优秀律师--3分</w:t>
            </w:r>
          </w:p>
        </w:tc>
      </w:tr>
      <w:tr w14:paraId="42ED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49284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color w:val="auto"/>
              </w:rPr>
            </w:pPr>
          </w:p>
        </w:tc>
        <w:tc>
          <w:tcPr>
            <w:tcW w:w="189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0702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团队业绩</w:t>
            </w:r>
          </w:p>
          <w:p w14:paraId="4392D91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(17分)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F903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近三年为大型建设工程施工单位提供常年法律顾问服务的相关业绩。一家单位计1分，最高6分。</w:t>
            </w:r>
          </w:p>
        </w:tc>
      </w:tr>
      <w:tr w14:paraId="6B27C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54FDF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D52A2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6536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近三年代理的重大建设工程纠纷胜诉案件，标的额在2000万元以上。一件胜诉案件计1分，最高6分。</w:t>
            </w:r>
          </w:p>
        </w:tc>
      </w:tr>
      <w:tr w14:paraId="4E75C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FF51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2991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1E19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近三年处理劳务纠纷、劳动争议案件胜诉相关业绩：</w:t>
            </w:r>
          </w:p>
          <w:p w14:paraId="70C2031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（1）0-5件--1分</w:t>
            </w:r>
          </w:p>
          <w:p w14:paraId="59CE408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（2）5-10件--3分</w:t>
            </w:r>
          </w:p>
          <w:p w14:paraId="6218F90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（3）10件以上--5分</w:t>
            </w:r>
          </w:p>
        </w:tc>
      </w:tr>
      <w:tr w14:paraId="2D0B0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4BF5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  <w:t>5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71502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项目服务方案综合评分</w:t>
            </w:r>
          </w:p>
          <w:p w14:paraId="42329B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45分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C3813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评审小组结合比选申请文件对服务方案进行综合评分：</w:t>
            </w:r>
          </w:p>
          <w:p w14:paraId="01482FF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（1）未响应核心法律服务需求，服务内容缺项严重；服务思路模糊，无具体服务举措，完全未结合本单位法务、合规、业务风控等实际需求；不具备竞争优势—0-15分</w:t>
            </w:r>
          </w:p>
          <w:p w14:paraId="36159A8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宋体" w:eastAsia="仿宋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（2）基本覆盖主要常年法律服务事项，部分需求响应不完整；服务内容、常规举措表述笼统，仅简单对应基础法务需求，针对性不足；具备竞争优势—16-30分</w:t>
            </w:r>
          </w:p>
          <w:p w14:paraId="476FFE0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auto"/>
                <w:sz w:val="24"/>
                <w:szCs w:val="28"/>
                <w:lang w:val="en-US" w:eastAsia="zh-CN"/>
              </w:rPr>
              <w:t>（3）全面响应全部常年法律顾问服务需求，无遗漏、无偏离；服务内容详实、举措具体完善，充分结合法律咨询、文件审核、合规管控、纠纷处置、内部支撑等各类法务工作需求，适配性强；竞争优势明显—31-45分</w:t>
            </w:r>
          </w:p>
        </w:tc>
      </w:tr>
      <w:tr w14:paraId="24418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6CB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  <w:t>6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24D3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20分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9118B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所有参选律所的有效报价计算算术平均值，作为基准报价。偏差率计算公式：偏差率 = 100%×（参选报价－评标基准价）÷ 评标基准价，偏差率不足 1% 采用直线内插法据实计算，单项最低0分。报价等于评标基准价得30分；报价高于基准价的，每上浮 1% 扣 0.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分；报价低于基准价的，每下浮 1% 扣 0.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分。</w:t>
            </w:r>
          </w:p>
        </w:tc>
      </w:tr>
      <w:tr w14:paraId="3D8E2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870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  <w:t>7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60B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比选文件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质量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（2分）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F3B5D">
            <w:pPr>
              <w:numPr>
                <w:ilvl w:val="0"/>
                <w:numId w:val="0"/>
              </w:numPr>
              <w:snapToGrid w:val="0"/>
              <w:spacing w:line="240" w:lineRule="auto"/>
              <w:ind w:right="0" w:right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格式规范、符合比选文件要求（0-2分）</w:t>
            </w:r>
          </w:p>
        </w:tc>
      </w:tr>
      <w:tr w14:paraId="0E548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5D5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总计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C2EA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  <w:lang w:val="en-US" w:eastAsia="zh-CN"/>
              </w:rPr>
              <w:t>100分</w:t>
            </w:r>
          </w:p>
        </w:tc>
      </w:tr>
    </w:tbl>
    <w:p w14:paraId="130BD040">
      <w:pPr>
        <w:widowControl/>
        <w:snapToGrid w:val="0"/>
        <w:ind w:left="0" w:leftChars="0" w:right="0" w:rightChars="0" w:firstLine="0" w:firstLineChars="0"/>
        <w:jc w:val="left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912FB"/>
    <w:rsid w:val="01714809"/>
    <w:rsid w:val="02027742"/>
    <w:rsid w:val="03FD2384"/>
    <w:rsid w:val="0C6D3E1F"/>
    <w:rsid w:val="0EFE5D30"/>
    <w:rsid w:val="0FD22917"/>
    <w:rsid w:val="0FD541B5"/>
    <w:rsid w:val="125F0A40"/>
    <w:rsid w:val="13113756"/>
    <w:rsid w:val="151912FB"/>
    <w:rsid w:val="16924BAE"/>
    <w:rsid w:val="172C5003"/>
    <w:rsid w:val="1C23109C"/>
    <w:rsid w:val="1D850C9D"/>
    <w:rsid w:val="21C5052E"/>
    <w:rsid w:val="26D905D7"/>
    <w:rsid w:val="2AF7727E"/>
    <w:rsid w:val="2C363DD6"/>
    <w:rsid w:val="2C881243"/>
    <w:rsid w:val="2DB244BE"/>
    <w:rsid w:val="2E92154C"/>
    <w:rsid w:val="2EEE0998"/>
    <w:rsid w:val="32A73338"/>
    <w:rsid w:val="33D26ADA"/>
    <w:rsid w:val="3CC04858"/>
    <w:rsid w:val="3CEC0DBA"/>
    <w:rsid w:val="406B1354"/>
    <w:rsid w:val="41852ECC"/>
    <w:rsid w:val="4342424E"/>
    <w:rsid w:val="45F35A54"/>
    <w:rsid w:val="49E35145"/>
    <w:rsid w:val="4B4A7ED0"/>
    <w:rsid w:val="4CE92A73"/>
    <w:rsid w:val="4DEE364F"/>
    <w:rsid w:val="4ECB2E5C"/>
    <w:rsid w:val="4F912F4E"/>
    <w:rsid w:val="5015592D"/>
    <w:rsid w:val="505521CD"/>
    <w:rsid w:val="53AE66A0"/>
    <w:rsid w:val="57803FD4"/>
    <w:rsid w:val="5A1F7AD4"/>
    <w:rsid w:val="5A613292"/>
    <w:rsid w:val="5BA74384"/>
    <w:rsid w:val="5BCB6CFF"/>
    <w:rsid w:val="5C642116"/>
    <w:rsid w:val="5CE3042F"/>
    <w:rsid w:val="5D5E0913"/>
    <w:rsid w:val="5D8E722F"/>
    <w:rsid w:val="5D9A4CAE"/>
    <w:rsid w:val="5DCB1D21"/>
    <w:rsid w:val="600357A2"/>
    <w:rsid w:val="619D0B2C"/>
    <w:rsid w:val="623C4F9B"/>
    <w:rsid w:val="62F87114"/>
    <w:rsid w:val="65326415"/>
    <w:rsid w:val="68607EBE"/>
    <w:rsid w:val="698711F2"/>
    <w:rsid w:val="6B96396E"/>
    <w:rsid w:val="6D714693"/>
    <w:rsid w:val="6DD47C6A"/>
    <w:rsid w:val="700B02ED"/>
    <w:rsid w:val="70433998"/>
    <w:rsid w:val="71465186"/>
    <w:rsid w:val="72DE4783"/>
    <w:rsid w:val="7315786E"/>
    <w:rsid w:val="76E61C4D"/>
    <w:rsid w:val="77615FF3"/>
    <w:rsid w:val="77C27899"/>
    <w:rsid w:val="79FD55A8"/>
    <w:rsid w:val="7A2462F5"/>
    <w:rsid w:val="7A94376E"/>
    <w:rsid w:val="7AD7346D"/>
    <w:rsid w:val="7B340AAD"/>
    <w:rsid w:val="7D9B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720" w:firstLineChars="200"/>
      <w:outlineLvl w:val="0"/>
    </w:pPr>
    <w:rPr>
      <w:rFonts w:eastAsia="黑体" w:cs="Times New Roman" w:asciiTheme="minorAscii" w:hAnsiTheme="minorAscii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楷体_GB2312" w:cs="Times New Roman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949</Words>
  <Characters>1044</Characters>
  <Lines>0</Lines>
  <Paragraphs>0</Paragraphs>
  <TotalTime>17</TotalTime>
  <ScaleCrop>false</ScaleCrop>
  <LinksUpToDate>false</LinksUpToDate>
  <CharactersWithSpaces>1217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2026-06-05T02:57:00Z</dcterms:created>
  <dc:creator>CHENZCUI</dc:creator>
  <cp:lastModifiedBy>CHENZCUI</cp:lastModifiedBy>
  <cp:lastPrinted>2026-07-10T03:32:00Z</cp:lastPrinted>
  <dcterms:modified xsi:type="dcterms:W3CDTF">2026-07-31T08:14:15Z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AC2422371A6143CEA5ADCA872B12C17B_13</vt:lpwstr>
  </property>
  <property fmtid="{D5CDD505-2E9C-101B-9397-08002B2CF9AE}" pid="4" name="KSOTemplateDocerSaveRecord">
    <vt:lpwstr>eyJoZGlkIjoiZDE2NDg3ZGIzOTc4MzRhMjY4OTFmZDgwMDYxY2E0ZWEiLCJ1c2VySWQiOiIyNjc2MDkyNTgifQ==</vt:lpwstr>
  </property>
</Properties>
</file>