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2E2B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  <w:t>评分表</w:t>
      </w:r>
    </w:p>
    <w:tbl>
      <w:tblPr>
        <w:tblStyle w:val="6"/>
        <w:tblpPr w:leftFromText="180" w:rightFromText="180" w:vertAnchor="page" w:horzAnchor="page" w:tblpX="1658" w:tblpY="3048"/>
        <w:tblOverlap w:val="never"/>
        <w:tblW w:w="86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896"/>
        <w:gridCol w:w="5966"/>
      </w:tblGrid>
      <w:tr w14:paraId="07CB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5F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15A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内容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BBC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标准</w:t>
            </w:r>
          </w:p>
        </w:tc>
      </w:tr>
      <w:tr w14:paraId="13A8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8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DDCEE">
            <w:pPr>
              <w:tabs>
                <w:tab w:val="left" w:pos="312"/>
              </w:tabs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8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3642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律所人员规模</w:t>
            </w:r>
          </w:p>
          <w:p w14:paraId="3197F378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（3分）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EBF6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（1）绵阳或成都地区专职执业律师20-30人--1分</w:t>
            </w:r>
          </w:p>
          <w:p w14:paraId="7F9B019E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（2）绵阳或成都地区专职执业律师30-40人--2分</w:t>
            </w:r>
          </w:p>
          <w:p w14:paraId="494DD741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（3）绵阳或成都地区专职执业律师40人以上--3分</w:t>
            </w:r>
          </w:p>
        </w:tc>
      </w:tr>
      <w:tr w14:paraId="6ED6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7D2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2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000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律所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荣誉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4C81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所获荣誉，以所获最高奖励为标准：</w:t>
            </w:r>
          </w:p>
          <w:p w14:paraId="60B12F4E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（1）获得区级优秀律师事务所荣誉--1分</w:t>
            </w:r>
          </w:p>
          <w:p w14:paraId="0B8E632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（2）获得市级优秀律师事务所荣誉--2分</w:t>
            </w:r>
          </w:p>
          <w:p w14:paraId="28B287D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（3）获得省级优秀律师事务所荣誉--3分</w:t>
            </w:r>
          </w:p>
          <w:p w14:paraId="77AD78D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（4）获得国家级优秀律师事务所荣誉--4分</w:t>
            </w:r>
          </w:p>
        </w:tc>
      </w:tr>
      <w:tr w14:paraId="52CC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76D8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3</w:t>
            </w:r>
          </w:p>
          <w:p w14:paraId="79C3618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841B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团队综合实力</w:t>
            </w:r>
          </w:p>
          <w:p w14:paraId="374138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（9分）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D8C2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主办律师执业年限，多个主办律师的取平均数计算（主办律师需为后续合同中约定的主办律师及主要联络人，并且为服务事项核心对接人）：</w:t>
            </w:r>
          </w:p>
          <w:p w14:paraId="57A7196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(1)执业年限5年-10年--2分</w:t>
            </w:r>
          </w:p>
          <w:p w14:paraId="253B501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(2)执业年限10-15年--4分</w:t>
            </w:r>
          </w:p>
          <w:p w14:paraId="34B93C9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(3)执业年限15年以上--6分</w:t>
            </w:r>
          </w:p>
        </w:tc>
      </w:tr>
      <w:tr w14:paraId="588F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EB47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color w:val="auto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536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color w:val="auto"/>
              </w:rPr>
            </w:pP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B6C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主办律师所获最高荣誉，不重复计数：</w:t>
            </w:r>
          </w:p>
          <w:p w14:paraId="4E756FD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（1）区级律协优秀律师称号--1分</w:t>
            </w:r>
          </w:p>
          <w:p w14:paraId="389D671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（2）市级律协优秀律师称号--2分</w:t>
            </w:r>
          </w:p>
          <w:p w14:paraId="5C32DD3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（3）省级律协优秀律师--3分</w:t>
            </w:r>
          </w:p>
        </w:tc>
      </w:tr>
      <w:tr w14:paraId="42ED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49284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color w:val="auto"/>
              </w:rPr>
            </w:pPr>
          </w:p>
        </w:tc>
        <w:tc>
          <w:tcPr>
            <w:tcW w:w="189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0702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团队业绩</w:t>
            </w:r>
          </w:p>
          <w:p w14:paraId="4392D9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(17分)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F903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近三年为大型建设工程施工单位提供常年法律顾问服务的相关业绩。一家单位计1分，最高6分。</w:t>
            </w:r>
          </w:p>
        </w:tc>
      </w:tr>
      <w:tr w14:paraId="6B27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4FDF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D52A2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6536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近三年代理的重大建设工程纠纷胜诉案件，标的额在2000万元以上。一件胜诉案件计1分，最高6分。</w:t>
            </w:r>
          </w:p>
        </w:tc>
      </w:tr>
      <w:tr w14:paraId="4E75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FF51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2991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1E19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近三年处理劳务纠纷、劳动争议案件胜诉相关业绩：</w:t>
            </w:r>
          </w:p>
          <w:p w14:paraId="70C2031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（1）0-5件--1分</w:t>
            </w:r>
          </w:p>
          <w:p w14:paraId="59CE408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（2）5-10件--3分</w:t>
            </w:r>
          </w:p>
          <w:p w14:paraId="6218F90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（3）10件以上--5分</w:t>
            </w:r>
          </w:p>
        </w:tc>
      </w:tr>
      <w:tr w14:paraId="2D0B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4BF5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>5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7150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项目服务方案综合评分</w:t>
            </w:r>
          </w:p>
          <w:p w14:paraId="42329B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45分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C3813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评审小组结合比选申请文件对服务方案进行综合评分：</w:t>
            </w:r>
          </w:p>
          <w:p w14:paraId="01482FF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（1）未响应核心法律服务需求，服务内容缺项严重；服务思路模糊，无具体服务举措，完全未结合本单位法务、合规、业务风控等实际需求；不具备竞争优势—0-15分</w:t>
            </w:r>
          </w:p>
          <w:p w14:paraId="36159A8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（2）基本覆盖主要常年法律服务事项，部分需求响应不完整；服务内容、常规举措表述笼统，仅简单对应基础法务需求，针对性不足；具备竞争优势—16-30分</w:t>
            </w:r>
          </w:p>
          <w:p w14:paraId="476FFE0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3）全面响应全部常年法律顾问服务需求，无遗漏、无偏离；服务内容详实、举措具体完善，充分结合法律咨询、文件审核、合规管控、纠纷处置、内部支撑等各类法务工作需求，适配性强；竞争优势明显—31-45分</w:t>
            </w:r>
          </w:p>
        </w:tc>
      </w:tr>
      <w:tr w14:paraId="2441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CB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>6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24D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9118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所有参选律所的有效报价计算算术平均值，作为基准报价。偏差率计算公式：偏差率 = 100%×（参选报价－评标基准价）÷ 评标</w:t>
            </w:r>
            <w:bookmarkStart w:id="0" w:name="_GoBack"/>
            <w:bookmarkEnd w:id="0"/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基准价，偏差率不足 1% 采用直线内插法据实计算，单项最低0分。报价等于评标基准价得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0分；报价高于基准价的，每上浮 1% 扣 0.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分；报价低于基准价的，每下浮 1% 扣 0.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分。</w:t>
            </w:r>
          </w:p>
        </w:tc>
      </w:tr>
      <w:tr w14:paraId="3D8E2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870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>7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60B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比选文件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（2分）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F3B5D">
            <w:pPr>
              <w:numPr>
                <w:ilvl w:val="0"/>
                <w:numId w:val="0"/>
              </w:numPr>
              <w:snapToGrid w:val="0"/>
              <w:spacing w:line="240" w:lineRule="auto"/>
              <w:ind w:right="0" w:right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格式规范、符合比选文件要求（0-2分）</w:t>
            </w:r>
          </w:p>
        </w:tc>
      </w:tr>
      <w:tr w14:paraId="0E54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5D5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总计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C2E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  <w:lang w:val="en-US" w:eastAsia="zh-CN"/>
              </w:rPr>
              <w:t>100分</w:t>
            </w:r>
          </w:p>
        </w:tc>
      </w:tr>
    </w:tbl>
    <w:p w14:paraId="130BD040">
      <w:pPr>
        <w:widowControl/>
        <w:snapToGrid w:val="0"/>
        <w:ind w:left="0" w:leftChars="0" w:right="0" w:rightChars="0" w:firstLine="0" w:firstLineChars="0"/>
        <w:jc w:val="left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912FB"/>
    <w:rsid w:val="01714809"/>
    <w:rsid w:val="02027742"/>
    <w:rsid w:val="03FD2384"/>
    <w:rsid w:val="0C6D3E1F"/>
    <w:rsid w:val="0EFE5D30"/>
    <w:rsid w:val="0FD22917"/>
    <w:rsid w:val="0FD541B5"/>
    <w:rsid w:val="125F0A40"/>
    <w:rsid w:val="13113756"/>
    <w:rsid w:val="151912FB"/>
    <w:rsid w:val="16924BAE"/>
    <w:rsid w:val="172C5003"/>
    <w:rsid w:val="1C23109C"/>
    <w:rsid w:val="1D850C9D"/>
    <w:rsid w:val="21C5052E"/>
    <w:rsid w:val="23BB6C7F"/>
    <w:rsid w:val="26D905D7"/>
    <w:rsid w:val="2AF7727E"/>
    <w:rsid w:val="2C363DD6"/>
    <w:rsid w:val="2C881243"/>
    <w:rsid w:val="2DB244BE"/>
    <w:rsid w:val="2E92154C"/>
    <w:rsid w:val="2EEE0998"/>
    <w:rsid w:val="32A73338"/>
    <w:rsid w:val="33D26ADA"/>
    <w:rsid w:val="3CC04858"/>
    <w:rsid w:val="3CEC0DBA"/>
    <w:rsid w:val="3D42172F"/>
    <w:rsid w:val="406B1354"/>
    <w:rsid w:val="41852ECC"/>
    <w:rsid w:val="4342424E"/>
    <w:rsid w:val="45F35A54"/>
    <w:rsid w:val="49E35145"/>
    <w:rsid w:val="4B4A7ED0"/>
    <w:rsid w:val="4CE92A73"/>
    <w:rsid w:val="4DEE364F"/>
    <w:rsid w:val="4ECB2E5C"/>
    <w:rsid w:val="4F912F4E"/>
    <w:rsid w:val="5015592D"/>
    <w:rsid w:val="505521CD"/>
    <w:rsid w:val="53AE66A0"/>
    <w:rsid w:val="57803FD4"/>
    <w:rsid w:val="5A1F7AD4"/>
    <w:rsid w:val="5A613292"/>
    <w:rsid w:val="5AC13357"/>
    <w:rsid w:val="5BA74384"/>
    <w:rsid w:val="5BCB6CFF"/>
    <w:rsid w:val="5C642116"/>
    <w:rsid w:val="5CE3042F"/>
    <w:rsid w:val="5D5E0913"/>
    <w:rsid w:val="5D8E722F"/>
    <w:rsid w:val="5D9A4CAE"/>
    <w:rsid w:val="5DCB1D21"/>
    <w:rsid w:val="600357A2"/>
    <w:rsid w:val="619D0B2C"/>
    <w:rsid w:val="623C4F9B"/>
    <w:rsid w:val="62F87114"/>
    <w:rsid w:val="65326415"/>
    <w:rsid w:val="68607EBE"/>
    <w:rsid w:val="698711F2"/>
    <w:rsid w:val="6B96396E"/>
    <w:rsid w:val="6D714693"/>
    <w:rsid w:val="6DD47C6A"/>
    <w:rsid w:val="700B02ED"/>
    <w:rsid w:val="70433998"/>
    <w:rsid w:val="71465186"/>
    <w:rsid w:val="72DE4783"/>
    <w:rsid w:val="7315786E"/>
    <w:rsid w:val="76E61C4D"/>
    <w:rsid w:val="77615FF3"/>
    <w:rsid w:val="77C27899"/>
    <w:rsid w:val="79FD55A8"/>
    <w:rsid w:val="7A2462F5"/>
    <w:rsid w:val="7A94376E"/>
    <w:rsid w:val="7AD7346D"/>
    <w:rsid w:val="7B340AAD"/>
    <w:rsid w:val="7D9B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0"/>
    </w:pPr>
    <w:rPr>
      <w:rFonts w:eastAsia="黑体" w:cs="Times New Roman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_GB2312" w:cs="Times New Roman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924</Words>
  <Characters>1017</Characters>
  <Lines>0</Lines>
  <Paragraphs>0</Paragraphs>
  <TotalTime>18</TotalTime>
  <ScaleCrop>false</ScaleCrop>
  <LinksUpToDate>false</LinksUpToDate>
  <CharactersWithSpaces>1030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2026-06-05T02:57:00Z</dcterms:created>
  <dc:creator>CHENZCUI</dc:creator>
  <cp:lastModifiedBy>CHENZCUI</cp:lastModifiedBy>
  <cp:lastPrinted>2026-07-10T03:32:00Z</cp:lastPrinted>
  <dcterms:modified xsi:type="dcterms:W3CDTF">2026-08-21T07:14:47Z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AC2422371A6143CEA5ADCA872B12C17B_13</vt:lpwstr>
  </property>
  <property fmtid="{D5CDD505-2E9C-101B-9397-08002B2CF9AE}" pid="4" name="KSOTemplateDocerSaveRecord">
    <vt:lpwstr>eyJoZGlkIjoiZDE2NDg3ZGIzOTc4MzRhMjY4OTFmZDgwMDYxY2E0ZWEiLCJ1c2VySWQiOiIyNjc2MDkyNTgifQ==</vt:lpwstr>
  </property>
</Properties>
</file>