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0" w:firstLineChars="5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附件2</w:t>
      </w:r>
    </w:p>
    <w:p>
      <w:pPr>
        <w:tabs>
          <w:tab w:val="left" w:pos="567"/>
        </w:tabs>
        <w:autoSpaceDE w:val="0"/>
        <w:autoSpaceDN w:val="0"/>
        <w:spacing w:line="360" w:lineRule="auto"/>
        <w:jc w:val="center"/>
        <w:textAlignment w:val="bottom"/>
        <w:outlineLvl w:val="0"/>
        <w:rPr>
          <w:rFonts w:ascii="方正小标宋_GBK" w:hAnsi="宋体" w:eastAsia="方正小标宋_GBK"/>
          <w:b/>
          <w:bCs/>
          <w:color w:val="auto"/>
          <w:sz w:val="32"/>
          <w:szCs w:val="32"/>
        </w:rPr>
      </w:pPr>
      <w:r>
        <w:rPr>
          <w:rStyle w:val="5"/>
          <w:rFonts w:hint="eastAsia" w:ascii="宋体" w:hAnsi="宋体" w:cs="宋体"/>
          <w:b/>
          <w:color w:val="auto"/>
          <w:sz w:val="44"/>
          <w:szCs w:val="44"/>
        </w:rPr>
        <w:t>开标、评审和定标</w:t>
      </w:r>
    </w:p>
    <w:p>
      <w:pPr>
        <w:keepNext w:val="0"/>
        <w:keepLines w:val="0"/>
        <w:pageBreakBefore w:val="0"/>
        <w:widowControl/>
        <w:kinsoku/>
        <w:wordWrap/>
        <w:overflowPunct/>
        <w:topLinePunct w:val="0"/>
        <w:autoSpaceDE/>
        <w:autoSpaceDN/>
        <w:bidi w:val="0"/>
        <w:adjustRightInd/>
        <w:snapToGrid/>
        <w:spacing w:line="360" w:lineRule="auto"/>
        <w:ind w:left="539"/>
        <w:textAlignment w:val="baseline"/>
        <w:outlineLvl w:val="9"/>
        <w:rPr>
          <w:rFonts w:ascii="宋体" w:hAnsi="宋体" w:cs="宋体"/>
          <w:b/>
          <w:color w:val="auto"/>
          <w:sz w:val="24"/>
        </w:rPr>
      </w:pPr>
      <w:bookmarkStart w:id="0" w:name="_Toc409514874"/>
      <w:bookmarkStart w:id="1" w:name="_Toc409515076"/>
      <w:r>
        <w:rPr>
          <w:rFonts w:hint="eastAsia" w:ascii="宋体" w:hAnsi="宋体" w:cs="宋体"/>
          <w:b/>
          <w:color w:val="auto"/>
          <w:sz w:val="24"/>
        </w:rPr>
        <w:t>一、开标</w:t>
      </w:r>
      <w:bookmarkEnd w:id="0"/>
      <w:bookmarkEnd w:id="1"/>
    </w:p>
    <w:p>
      <w:pPr>
        <w:numPr>
          <w:ilvl w:val="0"/>
          <w:numId w:val="1"/>
        </w:numPr>
        <w:spacing w:line="360" w:lineRule="auto"/>
        <w:ind w:firstLine="480" w:firstLineChars="200"/>
        <w:jc w:val="left"/>
        <w:rPr>
          <w:rFonts w:ascii="宋体" w:hAnsi="宋体" w:cs="宋体"/>
          <w:color w:val="auto"/>
          <w:sz w:val="24"/>
        </w:rPr>
      </w:pPr>
      <w:r>
        <w:rPr>
          <w:rFonts w:hint="eastAsia" w:ascii="宋体" w:hAnsi="宋体" w:cs="宋体"/>
          <w:color w:val="auto"/>
          <w:sz w:val="24"/>
        </w:rPr>
        <w:t>采购代理按询价文件规定的时间和地点公开开标，开标由采购代理主持，采购人、报价供应商和有关方面代表参加。询价小组成员不参加开标大会。</w:t>
      </w:r>
    </w:p>
    <w:p>
      <w:pPr>
        <w:numPr>
          <w:ilvl w:val="0"/>
          <w:numId w:val="1"/>
        </w:numPr>
        <w:spacing w:line="360" w:lineRule="auto"/>
        <w:ind w:firstLine="480" w:firstLineChars="200"/>
        <w:jc w:val="left"/>
        <w:rPr>
          <w:rFonts w:ascii="宋体" w:hAnsi="宋体" w:cs="宋体"/>
          <w:color w:val="auto"/>
          <w:sz w:val="24"/>
        </w:rPr>
      </w:pPr>
      <w:r>
        <w:rPr>
          <w:rFonts w:hint="eastAsia" w:ascii="宋体" w:hAnsi="宋体" w:cs="宋体"/>
          <w:color w:val="auto"/>
          <w:sz w:val="24"/>
        </w:rPr>
        <w:t>报价供应商与采购人员及相关人员存在《中华人民共和国政府采购法实施条例》第一章第九条规定的利害关系情况的，应当及时提出并回避。</w:t>
      </w:r>
    </w:p>
    <w:p>
      <w:pPr>
        <w:numPr>
          <w:ilvl w:val="0"/>
          <w:numId w:val="1"/>
        </w:numPr>
        <w:spacing w:line="360" w:lineRule="auto"/>
        <w:ind w:firstLine="480" w:firstLineChars="200"/>
        <w:jc w:val="left"/>
        <w:rPr>
          <w:rFonts w:ascii="宋体" w:hAnsi="宋体" w:cs="宋体"/>
          <w:color w:val="auto"/>
          <w:sz w:val="24"/>
        </w:rPr>
      </w:pPr>
      <w:r>
        <w:rPr>
          <w:rFonts w:hint="eastAsia" w:ascii="宋体" w:hAnsi="宋体" w:cs="宋体"/>
          <w:color w:val="auto"/>
          <w:sz w:val="24"/>
        </w:rPr>
        <w:t>开标时，由报价供应商作为报价供应商代表检查响应文件的密封情况，也可以由采购人委托的公证机构检查并公证。经确认无误后，由采购代理工作人员当众拆封，宣读报价供应商名称和《开标一览表》内容。未宣读的投标价格、价格折扣和询价文件允许提供的备选投标方案等实质内容，评标时不予承认。</w:t>
      </w:r>
    </w:p>
    <w:p>
      <w:pPr>
        <w:numPr>
          <w:ilvl w:val="0"/>
          <w:numId w:val="1"/>
        </w:numPr>
        <w:spacing w:line="360" w:lineRule="auto"/>
        <w:ind w:firstLine="480" w:firstLineChars="200"/>
        <w:jc w:val="left"/>
        <w:rPr>
          <w:rFonts w:ascii="宋体" w:hAnsi="宋体" w:cs="宋体"/>
          <w:color w:val="auto"/>
          <w:sz w:val="24"/>
        </w:rPr>
      </w:pPr>
      <w:r>
        <w:rPr>
          <w:rFonts w:hint="eastAsia" w:ascii="宋体" w:hAnsi="宋体" w:cs="宋体"/>
          <w:color w:val="auto"/>
          <w:sz w:val="24"/>
        </w:rPr>
        <w:t>如开标记录表上内容与响应文件不一致时，报价供应商法定代表人或其委托代理人须当场提出。开标记录表由记录人、唱标人、报价供应商法定代表人或其委托代理人和有关人员签字确认。</w:t>
      </w:r>
    </w:p>
    <w:p>
      <w:pPr>
        <w:numPr>
          <w:ilvl w:val="0"/>
          <w:numId w:val="1"/>
        </w:numPr>
        <w:spacing w:line="360" w:lineRule="auto"/>
        <w:ind w:firstLine="480" w:firstLineChars="200"/>
        <w:rPr>
          <w:rFonts w:ascii="宋体" w:hAnsi="宋体" w:cs="宋体"/>
          <w:b/>
          <w:color w:val="auto"/>
          <w:sz w:val="24"/>
        </w:rPr>
      </w:pPr>
      <w:r>
        <w:rPr>
          <w:rFonts w:hint="eastAsia" w:ascii="宋体" w:hAnsi="宋体" w:cs="宋体"/>
          <w:color w:val="auto"/>
          <w:sz w:val="24"/>
        </w:rPr>
        <w:t>参加开标会是报价供应商的权利，如果报价供应商不参加开标，视同其放弃了这项权利，认可唱标结果。</w:t>
      </w:r>
    </w:p>
    <w:p>
      <w:pPr>
        <w:keepNext w:val="0"/>
        <w:keepLines w:val="0"/>
        <w:pageBreakBefore w:val="0"/>
        <w:widowControl/>
        <w:kinsoku/>
        <w:wordWrap/>
        <w:overflowPunct/>
        <w:topLinePunct w:val="0"/>
        <w:autoSpaceDE/>
        <w:autoSpaceDN/>
        <w:bidi w:val="0"/>
        <w:adjustRightInd/>
        <w:snapToGrid/>
        <w:spacing w:line="360" w:lineRule="auto"/>
        <w:ind w:left="539"/>
        <w:textAlignment w:val="baseline"/>
        <w:outlineLvl w:val="9"/>
        <w:rPr>
          <w:rFonts w:hint="eastAsia" w:ascii="宋体" w:hAnsi="宋体" w:cs="宋体"/>
          <w:b/>
          <w:color w:val="auto"/>
          <w:sz w:val="24"/>
        </w:rPr>
      </w:pPr>
      <w:bookmarkStart w:id="2" w:name="_Toc199817944"/>
      <w:bookmarkStart w:id="3" w:name="_Toc351989408"/>
      <w:bookmarkStart w:id="4" w:name="_Toc409515077"/>
      <w:bookmarkStart w:id="5" w:name="_Toc199817892"/>
      <w:bookmarkStart w:id="6" w:name="_Toc409514875"/>
      <w:bookmarkStart w:id="7" w:name="_Toc401231875"/>
      <w:r>
        <w:rPr>
          <w:rFonts w:hint="eastAsia" w:ascii="宋体" w:hAnsi="宋体" w:cs="宋体"/>
          <w:b/>
          <w:color w:val="auto"/>
          <w:sz w:val="24"/>
        </w:rPr>
        <w:t>二、询价小组</w:t>
      </w:r>
      <w:bookmarkEnd w:id="2"/>
      <w:bookmarkEnd w:id="3"/>
      <w:bookmarkEnd w:id="4"/>
      <w:bookmarkEnd w:id="5"/>
      <w:bookmarkEnd w:id="6"/>
      <w:bookmarkEnd w:id="7"/>
    </w:p>
    <w:p>
      <w:pPr>
        <w:spacing w:line="360" w:lineRule="auto"/>
        <w:ind w:firstLine="480" w:firstLineChars="200"/>
        <w:rPr>
          <w:rFonts w:ascii="宋体" w:hAnsi="宋体" w:cs="宋体"/>
          <w:color w:val="auto"/>
          <w:sz w:val="24"/>
          <w:lang w:val="en-GB"/>
        </w:rPr>
      </w:pPr>
      <w:bookmarkStart w:id="8" w:name="_Toc199817893"/>
      <w:r>
        <w:rPr>
          <w:rFonts w:hint="eastAsia" w:ascii="宋体" w:hAnsi="宋体" w:cs="宋体"/>
          <w:bCs/>
          <w:color w:val="auto"/>
          <w:kern w:val="0"/>
          <w:sz w:val="24"/>
        </w:rPr>
        <w:t>询价</w:t>
      </w:r>
      <w:r>
        <w:rPr>
          <w:rFonts w:hint="eastAsia" w:ascii="宋体" w:hAnsi="宋体" w:cs="宋体"/>
          <w:color w:val="auto"/>
          <w:kern w:val="0"/>
          <w:sz w:val="24"/>
          <w:lang w:val="zh-CN"/>
        </w:rPr>
        <w:t>小组由</w:t>
      </w:r>
      <w:bookmarkStart w:id="9" w:name="EB4b993410a2c94ef98f088bf18d90b40f"/>
      <w:bookmarkEnd w:id="9"/>
      <w:r>
        <w:rPr>
          <w:rFonts w:hint="eastAsia" w:ascii="宋体" w:hAnsi="宋体" w:cs="宋体"/>
          <w:color w:val="auto"/>
          <w:kern w:val="0"/>
          <w:sz w:val="24"/>
          <w:lang w:val="zh-CN"/>
        </w:rPr>
        <w:t>有关专家共三人及以上单数组成</w:t>
      </w:r>
      <w:r>
        <w:rPr>
          <w:rFonts w:hint="eastAsia" w:ascii="宋体" w:hAnsi="宋体" w:cs="宋体"/>
          <w:bCs/>
          <w:color w:val="auto"/>
          <w:sz w:val="24"/>
        </w:rPr>
        <w:t>。询价小组将本着公平、公正、科学、择优的原则，严格按照法律法规和询价文件的要求推荐评审结果。</w:t>
      </w:r>
      <w:bookmarkEnd w:id="8"/>
    </w:p>
    <w:p>
      <w:pPr>
        <w:keepNext w:val="0"/>
        <w:keepLines w:val="0"/>
        <w:pageBreakBefore w:val="0"/>
        <w:widowControl/>
        <w:kinsoku/>
        <w:wordWrap/>
        <w:overflowPunct/>
        <w:topLinePunct w:val="0"/>
        <w:bidi w:val="0"/>
        <w:adjustRightInd/>
        <w:snapToGrid/>
        <w:spacing w:line="360" w:lineRule="auto"/>
        <w:ind w:firstLine="482" w:firstLineChars="200"/>
        <w:textAlignment w:val="baseline"/>
        <w:outlineLvl w:val="9"/>
        <w:rPr>
          <w:rFonts w:ascii="宋体" w:hAnsi="宋体" w:cs="宋体"/>
          <w:b/>
          <w:color w:val="auto"/>
          <w:sz w:val="24"/>
        </w:rPr>
      </w:pPr>
      <w:bookmarkStart w:id="10" w:name="_Toc409515078"/>
      <w:bookmarkStart w:id="11" w:name="_Toc409514876"/>
      <w:bookmarkStart w:id="12" w:name="_Toc351989409"/>
      <w:bookmarkStart w:id="13" w:name="_Toc401231876"/>
      <w:r>
        <w:rPr>
          <w:rFonts w:hint="eastAsia" w:ascii="宋体" w:hAnsi="宋体" w:cs="宋体"/>
          <w:b/>
          <w:color w:val="auto"/>
          <w:sz w:val="24"/>
        </w:rPr>
        <w:t>三、评审方法</w:t>
      </w:r>
      <w:bookmarkEnd w:id="10"/>
      <w:bookmarkEnd w:id="11"/>
    </w:p>
    <w:p>
      <w:pPr>
        <w:keepNext w:val="0"/>
        <w:keepLines w:val="0"/>
        <w:pageBreakBefore w:val="0"/>
        <w:widowControl/>
        <w:kinsoku/>
        <w:wordWrap/>
        <w:overflowPunct/>
        <w:topLinePunct w:val="0"/>
        <w:autoSpaceDE/>
        <w:autoSpaceDN/>
        <w:bidi w:val="0"/>
        <w:adjustRightInd/>
        <w:snapToGrid/>
        <w:spacing w:line="360" w:lineRule="auto"/>
        <w:ind w:left="539"/>
        <w:textAlignment w:val="baseline"/>
        <w:outlineLvl w:val="9"/>
        <w:rPr>
          <w:rFonts w:ascii="宋体" w:hAnsi="宋体" w:cs="宋体"/>
          <w:b/>
          <w:color w:val="auto"/>
          <w:sz w:val="24"/>
        </w:rPr>
      </w:pPr>
      <w:bookmarkStart w:id="14" w:name="_Toc409514877"/>
      <w:bookmarkStart w:id="15" w:name="_Toc409515079"/>
      <w:r>
        <w:rPr>
          <w:rFonts w:hint="eastAsia" w:ascii="宋体" w:hAnsi="宋体" w:cs="宋体"/>
          <w:b/>
          <w:color w:val="auto"/>
          <w:sz w:val="24"/>
        </w:rPr>
        <w:t>1、推荐成交候选人方法</w:t>
      </w:r>
      <w:bookmarkEnd w:id="12"/>
      <w:bookmarkEnd w:id="13"/>
      <w:bookmarkEnd w:id="14"/>
      <w:bookmarkEnd w:id="15"/>
    </w:p>
    <w:p>
      <w:pPr>
        <w:keepNext w:val="0"/>
        <w:keepLines w:val="0"/>
        <w:pageBreakBefore w:val="0"/>
        <w:widowControl/>
        <w:kinsoku/>
        <w:wordWrap/>
        <w:overflowPunct/>
        <w:topLinePunct w:val="0"/>
        <w:bidi w:val="0"/>
        <w:adjustRightInd/>
        <w:snapToGrid/>
        <w:spacing w:line="360" w:lineRule="auto"/>
        <w:ind w:firstLine="480" w:firstLineChars="200"/>
        <w:textAlignment w:val="baseline"/>
        <w:outlineLvl w:val="9"/>
        <w:rPr>
          <w:rFonts w:ascii="宋体" w:hAnsi="宋体" w:cs="宋体"/>
          <w:b/>
          <w:color w:val="auto"/>
          <w:sz w:val="24"/>
        </w:rPr>
      </w:pPr>
      <w:r>
        <w:rPr>
          <w:rFonts w:hint="eastAsia" w:ascii="宋体" w:hAnsi="宋体" w:cs="宋体"/>
          <w:color w:val="auto"/>
          <w:kern w:val="0"/>
          <w:sz w:val="24"/>
        </w:rPr>
        <w:t>综合评定法，根据所报价格高低以及以往业绩等进行综合评定后确定中标单位</w:t>
      </w:r>
      <w:r>
        <w:rPr>
          <w:rFonts w:hint="eastAsia" w:ascii="宋体" w:hAnsi="宋体" w:cs="宋体"/>
          <w:color w:val="auto"/>
          <w:sz w:val="24"/>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outlineLvl w:val="9"/>
        <w:rPr>
          <w:rFonts w:hint="eastAsia" w:ascii="宋体" w:hAnsi="宋体" w:cs="宋体"/>
          <w:b/>
          <w:color w:val="auto"/>
          <w:sz w:val="24"/>
        </w:rPr>
      </w:pPr>
      <w:bookmarkStart w:id="16" w:name="_Toc409515080"/>
      <w:bookmarkStart w:id="17" w:name="_Toc199735922"/>
      <w:bookmarkStart w:id="18" w:name="_Toc395083522"/>
      <w:bookmarkStart w:id="19" w:name="_Toc401232229"/>
      <w:bookmarkStart w:id="20" w:name="_Toc409514878"/>
      <w:r>
        <w:rPr>
          <w:rFonts w:hint="eastAsia" w:ascii="宋体" w:hAnsi="宋体" w:cs="宋体"/>
          <w:b/>
          <w:color w:val="auto"/>
          <w:sz w:val="24"/>
        </w:rPr>
        <w:t>2、响应文件差异修正准则</w:t>
      </w:r>
      <w:bookmarkEnd w:id="16"/>
      <w:bookmarkEnd w:id="17"/>
      <w:bookmarkEnd w:id="18"/>
      <w:bookmarkEnd w:id="19"/>
      <w:bookmarkEnd w:id="20"/>
    </w:p>
    <w:p>
      <w:pPr>
        <w:keepNext w:val="0"/>
        <w:keepLines w:val="0"/>
        <w:pageBreakBefore w:val="0"/>
        <w:widowControl/>
        <w:tabs>
          <w:tab w:val="left" w:pos="0"/>
        </w:tabs>
        <w:kinsoku/>
        <w:wordWrap/>
        <w:overflowPunct/>
        <w:topLinePunct w:val="0"/>
        <w:bidi w:val="0"/>
        <w:adjustRightInd/>
        <w:snapToGrid/>
        <w:spacing w:line="360" w:lineRule="auto"/>
        <w:ind w:firstLine="480" w:firstLineChars="200"/>
        <w:textAlignment w:val="baseline"/>
        <w:outlineLvl w:val="9"/>
        <w:rPr>
          <w:rFonts w:ascii="宋体" w:hAnsi="宋体" w:cs="宋体"/>
          <w:color w:val="auto"/>
          <w:sz w:val="24"/>
        </w:rPr>
      </w:pPr>
      <w:r>
        <w:rPr>
          <w:rFonts w:hint="eastAsia" w:ascii="宋体" w:hAnsi="宋体" w:cs="宋体"/>
          <w:color w:val="auto"/>
          <w:sz w:val="24"/>
        </w:rPr>
        <w:t>响应文件出现差异时，修正原则及优先修正顺序如下：</w:t>
      </w:r>
    </w:p>
    <w:p>
      <w:pPr>
        <w:keepNext w:val="0"/>
        <w:keepLines w:val="0"/>
        <w:pageBreakBefore w:val="0"/>
        <w:widowControl/>
        <w:numPr>
          <w:ilvl w:val="0"/>
          <w:numId w:val="2"/>
        </w:numPr>
        <w:tabs>
          <w:tab w:val="left" w:pos="0"/>
        </w:tabs>
        <w:kinsoku/>
        <w:wordWrap/>
        <w:overflowPunct/>
        <w:topLinePunct w:val="0"/>
        <w:autoSpaceDE w:val="0"/>
        <w:autoSpaceDN w:val="0"/>
        <w:bidi w:val="0"/>
        <w:adjustRightInd/>
        <w:snapToGrid/>
        <w:spacing w:before="0" w:after="0" w:line="360" w:lineRule="auto"/>
        <w:ind w:firstLine="480" w:firstLineChars="200"/>
        <w:textAlignment w:val="baseline"/>
        <w:outlineLvl w:val="9"/>
        <w:rPr>
          <w:rFonts w:ascii="宋体" w:hAnsi="宋体" w:cs="宋体"/>
          <w:b w:val="0"/>
          <w:color w:val="auto"/>
          <w:sz w:val="24"/>
          <w:szCs w:val="24"/>
        </w:rPr>
      </w:pPr>
      <w:r>
        <w:rPr>
          <w:rFonts w:hint="eastAsia" w:ascii="宋体" w:hAnsi="宋体" w:cs="宋体"/>
          <w:b w:val="0"/>
          <w:color w:val="auto"/>
          <w:sz w:val="24"/>
          <w:szCs w:val="24"/>
        </w:rPr>
        <w:t>开标内容与响应文件对应内容不一致的，均以开标内容为准；</w:t>
      </w:r>
    </w:p>
    <w:p>
      <w:pPr>
        <w:keepNext w:val="0"/>
        <w:keepLines w:val="0"/>
        <w:pageBreakBefore w:val="0"/>
        <w:widowControl/>
        <w:numPr>
          <w:ilvl w:val="0"/>
          <w:numId w:val="2"/>
        </w:numPr>
        <w:tabs>
          <w:tab w:val="left" w:pos="0"/>
        </w:tabs>
        <w:kinsoku/>
        <w:wordWrap/>
        <w:overflowPunct/>
        <w:topLinePunct w:val="0"/>
        <w:autoSpaceDE w:val="0"/>
        <w:autoSpaceDN w:val="0"/>
        <w:bidi w:val="0"/>
        <w:adjustRightInd/>
        <w:snapToGrid/>
        <w:spacing w:before="0" w:after="0" w:line="360" w:lineRule="auto"/>
        <w:ind w:firstLine="480" w:firstLineChars="200"/>
        <w:textAlignment w:val="baseline"/>
        <w:outlineLvl w:val="9"/>
        <w:rPr>
          <w:rFonts w:ascii="宋体" w:hAnsi="宋体" w:cs="宋体"/>
          <w:b w:val="0"/>
          <w:color w:val="auto"/>
          <w:sz w:val="24"/>
          <w:szCs w:val="24"/>
        </w:rPr>
      </w:pPr>
      <w:r>
        <w:rPr>
          <w:rFonts w:hint="eastAsia" w:ascii="宋体" w:hAnsi="宋体" w:cs="宋体"/>
          <w:b w:val="0"/>
          <w:color w:val="auto"/>
          <w:sz w:val="24"/>
          <w:szCs w:val="24"/>
        </w:rPr>
        <w:t>分项评标单价合计金额与分项评标单价加总不一致的，以分项评标单价计算结果为准；</w:t>
      </w:r>
    </w:p>
    <w:p>
      <w:pPr>
        <w:keepNext w:val="0"/>
        <w:keepLines w:val="0"/>
        <w:pageBreakBefore w:val="0"/>
        <w:widowControl/>
        <w:numPr>
          <w:ilvl w:val="0"/>
          <w:numId w:val="2"/>
        </w:numPr>
        <w:tabs>
          <w:tab w:val="left" w:pos="0"/>
        </w:tabs>
        <w:kinsoku/>
        <w:wordWrap/>
        <w:overflowPunct/>
        <w:topLinePunct w:val="0"/>
        <w:autoSpaceDE w:val="0"/>
        <w:autoSpaceDN w:val="0"/>
        <w:bidi w:val="0"/>
        <w:adjustRightInd/>
        <w:snapToGrid/>
        <w:spacing w:before="0" w:after="0" w:line="360" w:lineRule="auto"/>
        <w:ind w:firstLine="480" w:firstLineChars="200"/>
        <w:textAlignment w:val="baseline"/>
        <w:outlineLvl w:val="9"/>
        <w:rPr>
          <w:rFonts w:ascii="宋体" w:hAnsi="宋体" w:cs="宋体"/>
          <w:b w:val="0"/>
          <w:color w:val="auto"/>
          <w:sz w:val="24"/>
          <w:szCs w:val="24"/>
        </w:rPr>
      </w:pPr>
      <w:r>
        <w:rPr>
          <w:rFonts w:hint="eastAsia" w:ascii="宋体" w:hAnsi="宋体" w:cs="宋体"/>
          <w:b w:val="0"/>
          <w:color w:val="auto"/>
          <w:sz w:val="24"/>
          <w:szCs w:val="24"/>
        </w:rPr>
        <w:t>对不同文字文本响应文件的解释发生异议的，以中文文本为准；</w:t>
      </w:r>
    </w:p>
    <w:p>
      <w:pPr>
        <w:keepNext w:val="0"/>
        <w:keepLines w:val="0"/>
        <w:pageBreakBefore w:val="0"/>
        <w:widowControl/>
        <w:numPr>
          <w:ilvl w:val="0"/>
          <w:numId w:val="2"/>
        </w:numPr>
        <w:tabs>
          <w:tab w:val="left" w:pos="0"/>
        </w:tabs>
        <w:kinsoku/>
        <w:wordWrap/>
        <w:overflowPunct/>
        <w:topLinePunct w:val="0"/>
        <w:autoSpaceDE w:val="0"/>
        <w:autoSpaceDN w:val="0"/>
        <w:bidi w:val="0"/>
        <w:adjustRightInd/>
        <w:snapToGrid/>
        <w:spacing w:before="0" w:after="0" w:line="336" w:lineRule="auto"/>
        <w:ind w:firstLine="480" w:firstLineChars="200"/>
        <w:textAlignment w:val="baseline"/>
        <w:outlineLvl w:val="9"/>
        <w:rPr>
          <w:rFonts w:ascii="宋体" w:hAnsi="宋体" w:cs="宋体"/>
          <w:b w:val="0"/>
          <w:color w:val="auto"/>
          <w:sz w:val="24"/>
          <w:szCs w:val="24"/>
        </w:rPr>
      </w:pPr>
      <w:r>
        <w:rPr>
          <w:rFonts w:hint="eastAsia" w:ascii="宋体" w:hAnsi="宋体" w:cs="宋体"/>
          <w:b w:val="0"/>
          <w:color w:val="auto"/>
          <w:sz w:val="24"/>
          <w:szCs w:val="24"/>
        </w:rPr>
        <w:t>对出现以上情况或因明显笔误而需修正任何内容时，均以询价小组审定通过方为有效；</w:t>
      </w:r>
    </w:p>
    <w:p>
      <w:pPr>
        <w:keepNext w:val="0"/>
        <w:keepLines w:val="0"/>
        <w:pageBreakBefore w:val="0"/>
        <w:widowControl/>
        <w:numPr>
          <w:ilvl w:val="0"/>
          <w:numId w:val="2"/>
        </w:numPr>
        <w:tabs>
          <w:tab w:val="left" w:pos="0"/>
        </w:tabs>
        <w:kinsoku/>
        <w:wordWrap/>
        <w:overflowPunct/>
        <w:topLinePunct w:val="0"/>
        <w:autoSpaceDE w:val="0"/>
        <w:autoSpaceDN w:val="0"/>
        <w:bidi w:val="0"/>
        <w:adjustRightInd/>
        <w:snapToGrid/>
        <w:spacing w:before="0" w:after="0" w:line="336" w:lineRule="auto"/>
        <w:ind w:firstLine="480" w:firstLineChars="200"/>
        <w:textAlignment w:val="baseline"/>
        <w:outlineLvl w:val="9"/>
        <w:rPr>
          <w:rFonts w:ascii="宋体" w:hAnsi="宋体" w:cs="宋体"/>
          <w:b w:val="0"/>
          <w:color w:val="auto"/>
          <w:sz w:val="24"/>
          <w:szCs w:val="24"/>
        </w:rPr>
      </w:pPr>
      <w:r>
        <w:rPr>
          <w:rFonts w:hint="eastAsia" w:ascii="宋体" w:hAnsi="宋体" w:cs="宋体"/>
          <w:b w:val="0"/>
          <w:color w:val="auto"/>
          <w:sz w:val="24"/>
          <w:szCs w:val="24"/>
        </w:rPr>
        <w:t>对采购项目的关键、主要内容，报价供应商报价漏项的，作非实质性响应处理；</w:t>
      </w:r>
    </w:p>
    <w:p>
      <w:pPr>
        <w:keepNext w:val="0"/>
        <w:keepLines w:val="0"/>
        <w:pageBreakBefore w:val="0"/>
        <w:widowControl/>
        <w:numPr>
          <w:ilvl w:val="0"/>
          <w:numId w:val="2"/>
        </w:numPr>
        <w:tabs>
          <w:tab w:val="left" w:pos="0"/>
        </w:tabs>
        <w:kinsoku/>
        <w:wordWrap/>
        <w:overflowPunct/>
        <w:topLinePunct w:val="0"/>
        <w:autoSpaceDE w:val="0"/>
        <w:autoSpaceDN w:val="0"/>
        <w:bidi w:val="0"/>
        <w:adjustRightInd/>
        <w:snapToGrid/>
        <w:spacing w:before="0" w:after="0" w:line="336" w:lineRule="auto"/>
        <w:ind w:firstLine="480" w:firstLineChars="200"/>
        <w:textAlignment w:val="baseline"/>
        <w:outlineLvl w:val="9"/>
        <w:rPr>
          <w:rFonts w:ascii="宋体" w:hAnsi="宋体" w:cs="宋体"/>
          <w:b w:val="0"/>
          <w:color w:val="auto"/>
          <w:sz w:val="24"/>
          <w:szCs w:val="24"/>
        </w:rPr>
      </w:pPr>
      <w:r>
        <w:rPr>
          <w:rFonts w:hint="eastAsia" w:ascii="宋体" w:hAnsi="宋体" w:cs="宋体"/>
          <w:b w:val="0"/>
          <w:color w:val="auto"/>
          <w:sz w:val="24"/>
          <w:szCs w:val="24"/>
        </w:rPr>
        <w:t>询价小组认定为表述不清晰或无法确定的报价均不予修正。</w:t>
      </w:r>
    </w:p>
    <w:p>
      <w:pPr>
        <w:keepNext w:val="0"/>
        <w:keepLines w:val="0"/>
        <w:pageBreakBefore w:val="0"/>
        <w:widowControl/>
        <w:kinsoku/>
        <w:wordWrap/>
        <w:overflowPunct/>
        <w:topLinePunct w:val="0"/>
        <w:bidi w:val="0"/>
        <w:adjustRightInd/>
        <w:snapToGrid/>
        <w:spacing w:line="336" w:lineRule="auto"/>
        <w:textAlignment w:val="baseline"/>
        <w:outlineLvl w:val="9"/>
        <w:rPr>
          <w:rFonts w:ascii="宋体" w:hAnsi="宋体" w:cs="宋体"/>
          <w:b/>
          <w:color w:val="auto"/>
          <w:sz w:val="24"/>
        </w:rPr>
      </w:pPr>
      <w:bookmarkStart w:id="21" w:name="_Toc409514879"/>
      <w:bookmarkStart w:id="22" w:name="_Toc409515081"/>
      <w:r>
        <w:rPr>
          <w:rFonts w:hint="eastAsia" w:ascii="宋体" w:hAnsi="宋体" w:cs="宋体"/>
          <w:b/>
          <w:color w:val="auto"/>
          <w:sz w:val="24"/>
        </w:rPr>
        <w:t>3、响应文件的澄清</w:t>
      </w:r>
      <w:bookmarkEnd w:id="21"/>
      <w:bookmarkEnd w:id="22"/>
    </w:p>
    <w:p>
      <w:pPr>
        <w:keepNext w:val="0"/>
        <w:keepLines w:val="0"/>
        <w:pageBreakBefore w:val="0"/>
        <w:widowControl/>
        <w:numPr>
          <w:ilvl w:val="0"/>
          <w:numId w:val="3"/>
        </w:numPr>
        <w:tabs>
          <w:tab w:val="left" w:pos="0"/>
          <w:tab w:val="left" w:pos="720"/>
          <w:tab w:val="left" w:pos="1080"/>
        </w:tabs>
        <w:kinsoku/>
        <w:wordWrap/>
        <w:overflowPunct/>
        <w:topLinePunct w:val="0"/>
        <w:bidi w:val="0"/>
        <w:adjustRightInd/>
        <w:snapToGrid/>
        <w:spacing w:line="336" w:lineRule="auto"/>
        <w:ind w:firstLine="480" w:firstLineChars="200"/>
        <w:textAlignment w:val="baseline"/>
        <w:outlineLvl w:val="9"/>
        <w:rPr>
          <w:rFonts w:ascii="宋体" w:hAnsi="宋体" w:cs="宋体"/>
          <w:color w:val="auto"/>
          <w:sz w:val="24"/>
        </w:rPr>
      </w:pPr>
      <w:r>
        <w:rPr>
          <w:rFonts w:hint="eastAsia" w:ascii="宋体" w:hAnsi="宋体" w:cs="宋体"/>
          <w:color w:val="auto"/>
          <w:sz w:val="24"/>
        </w:rPr>
        <w:t>对响应文件中含义不明确、同类问题表述不一致或者有明显文字和计算错误的内容，询价小组可以书面形式要求报价供应商作出必要的澄清、说明或者纠正。</w:t>
      </w:r>
    </w:p>
    <w:p>
      <w:pPr>
        <w:keepNext w:val="0"/>
        <w:keepLines w:val="0"/>
        <w:pageBreakBefore w:val="0"/>
        <w:widowControl/>
        <w:numPr>
          <w:ilvl w:val="0"/>
          <w:numId w:val="3"/>
        </w:numPr>
        <w:tabs>
          <w:tab w:val="left" w:pos="0"/>
          <w:tab w:val="left" w:pos="720"/>
          <w:tab w:val="left" w:pos="1080"/>
        </w:tabs>
        <w:kinsoku/>
        <w:wordWrap/>
        <w:overflowPunct/>
        <w:topLinePunct w:val="0"/>
        <w:bidi w:val="0"/>
        <w:adjustRightInd/>
        <w:snapToGrid/>
        <w:spacing w:line="336" w:lineRule="auto"/>
        <w:ind w:firstLine="480" w:firstLineChars="200"/>
        <w:textAlignment w:val="baseline"/>
        <w:outlineLvl w:val="9"/>
        <w:rPr>
          <w:rFonts w:ascii="宋体" w:hAnsi="宋体" w:cs="宋体"/>
          <w:color w:val="auto"/>
          <w:sz w:val="24"/>
        </w:rPr>
      </w:pPr>
      <w:r>
        <w:rPr>
          <w:rFonts w:hint="eastAsia" w:ascii="宋体" w:hAnsi="宋体" w:cs="宋体"/>
          <w:color w:val="auto"/>
          <w:sz w:val="24"/>
        </w:rPr>
        <w:t>报价供应商的澄清、说明或者补正应当采用书面形式，由其授权的代表签字，并不得超出响应文件的范围或者改变响应文件的实质性内容。</w:t>
      </w:r>
    </w:p>
    <w:p>
      <w:pPr>
        <w:keepNext w:val="0"/>
        <w:keepLines w:val="0"/>
        <w:pageBreakBefore w:val="0"/>
        <w:widowControl/>
        <w:numPr>
          <w:ilvl w:val="0"/>
          <w:numId w:val="3"/>
        </w:numPr>
        <w:tabs>
          <w:tab w:val="left" w:pos="0"/>
          <w:tab w:val="left" w:pos="720"/>
          <w:tab w:val="left" w:pos="1080"/>
        </w:tabs>
        <w:kinsoku/>
        <w:wordWrap/>
        <w:overflowPunct/>
        <w:topLinePunct w:val="0"/>
        <w:bidi w:val="0"/>
        <w:adjustRightInd/>
        <w:snapToGrid/>
        <w:spacing w:line="336" w:lineRule="auto"/>
        <w:ind w:firstLine="480" w:firstLineChars="200"/>
        <w:textAlignment w:val="baseline"/>
        <w:outlineLvl w:val="9"/>
        <w:rPr>
          <w:rFonts w:ascii="宋体" w:hAnsi="宋体" w:cs="宋体"/>
          <w:color w:val="auto"/>
          <w:sz w:val="24"/>
        </w:rPr>
      </w:pPr>
      <w:r>
        <w:rPr>
          <w:rFonts w:hint="eastAsia" w:ascii="宋体" w:hAnsi="宋体" w:cs="宋体"/>
          <w:color w:val="auto"/>
          <w:sz w:val="24"/>
        </w:rPr>
        <w:t>评委均应当阅读供应商的澄清，但应独立参考澄清对响应文件进行评审，整个澄清的过程不得存在排斥潜在供应商的现象。</w:t>
      </w:r>
    </w:p>
    <w:p>
      <w:pPr>
        <w:keepNext w:val="0"/>
        <w:keepLines w:val="0"/>
        <w:pageBreakBefore w:val="0"/>
        <w:widowControl/>
        <w:numPr>
          <w:ilvl w:val="0"/>
          <w:numId w:val="3"/>
        </w:numPr>
        <w:tabs>
          <w:tab w:val="left" w:pos="0"/>
          <w:tab w:val="left" w:pos="720"/>
          <w:tab w:val="left" w:pos="1080"/>
        </w:tabs>
        <w:kinsoku/>
        <w:wordWrap/>
        <w:overflowPunct/>
        <w:topLinePunct w:val="0"/>
        <w:bidi w:val="0"/>
        <w:adjustRightInd/>
        <w:snapToGrid/>
        <w:spacing w:line="336" w:lineRule="auto"/>
        <w:ind w:firstLine="480" w:firstLineChars="200"/>
        <w:textAlignment w:val="baseline"/>
        <w:outlineLvl w:val="9"/>
        <w:rPr>
          <w:rFonts w:ascii="宋体" w:hAnsi="宋体" w:cs="宋体"/>
          <w:color w:val="auto"/>
          <w:sz w:val="24"/>
        </w:rPr>
      </w:pPr>
      <w:r>
        <w:rPr>
          <w:rFonts w:hint="eastAsia" w:ascii="宋体" w:hAnsi="宋体" w:cs="宋体"/>
          <w:color w:val="auto"/>
          <w:sz w:val="24"/>
        </w:rPr>
        <w:t>除上述规定的情形之外，询价小组在评审过程中，不得接收来自评审现场以外的任何形式的文件资料。</w:t>
      </w:r>
    </w:p>
    <w:p>
      <w:pPr>
        <w:keepNext w:val="0"/>
        <w:keepLines w:val="0"/>
        <w:pageBreakBefore w:val="0"/>
        <w:widowControl/>
        <w:kinsoku/>
        <w:wordWrap/>
        <w:overflowPunct/>
        <w:topLinePunct w:val="0"/>
        <w:bidi w:val="0"/>
        <w:adjustRightInd/>
        <w:snapToGrid/>
        <w:spacing w:line="336" w:lineRule="auto"/>
        <w:textAlignment w:val="baseline"/>
        <w:outlineLvl w:val="9"/>
        <w:rPr>
          <w:rFonts w:ascii="宋体" w:hAnsi="宋体" w:cs="宋体"/>
          <w:b/>
          <w:color w:val="auto"/>
          <w:sz w:val="24"/>
        </w:rPr>
      </w:pPr>
      <w:bookmarkStart w:id="23" w:name="_Toc401231877"/>
      <w:bookmarkStart w:id="24" w:name="_Toc409514880"/>
      <w:bookmarkStart w:id="25" w:name="_Toc409515082"/>
      <w:bookmarkStart w:id="26" w:name="_Toc199817945"/>
      <w:bookmarkStart w:id="27" w:name="_Toc351989410"/>
      <w:bookmarkStart w:id="28" w:name="_Toc199817895"/>
      <w:bookmarkStart w:id="29" w:name="_Toc176852367"/>
      <w:r>
        <w:rPr>
          <w:rFonts w:hint="eastAsia" w:ascii="宋体" w:hAnsi="宋体" w:cs="宋体"/>
          <w:b/>
          <w:color w:val="auto"/>
          <w:sz w:val="24"/>
        </w:rPr>
        <w:t>四、评审程序</w:t>
      </w:r>
      <w:bookmarkEnd w:id="23"/>
      <w:bookmarkEnd w:id="24"/>
      <w:bookmarkEnd w:id="25"/>
      <w:bookmarkEnd w:id="26"/>
      <w:bookmarkEnd w:id="27"/>
      <w:bookmarkEnd w:id="28"/>
      <w:bookmarkEnd w:id="29"/>
    </w:p>
    <w:p>
      <w:pPr>
        <w:tabs>
          <w:tab w:val="left" w:pos="0"/>
        </w:tabs>
        <w:spacing w:line="336" w:lineRule="auto"/>
        <w:rPr>
          <w:rFonts w:ascii="宋体" w:hAnsi="宋体" w:cs="宋体"/>
          <w:b/>
          <w:color w:val="auto"/>
          <w:sz w:val="24"/>
        </w:rPr>
      </w:pPr>
      <w:r>
        <w:rPr>
          <w:rFonts w:hint="eastAsia" w:ascii="宋体" w:hAnsi="宋体" w:cs="宋体"/>
          <w:b/>
          <w:color w:val="auto"/>
          <w:sz w:val="24"/>
        </w:rPr>
        <w:t>1、询价小组确认询价文件。</w:t>
      </w:r>
    </w:p>
    <w:p>
      <w:pPr>
        <w:tabs>
          <w:tab w:val="left" w:pos="0"/>
        </w:tabs>
        <w:spacing w:line="336" w:lineRule="auto"/>
        <w:rPr>
          <w:rFonts w:ascii="宋体" w:hAnsi="宋体" w:cs="宋体"/>
          <w:color w:val="auto"/>
          <w:sz w:val="24"/>
        </w:rPr>
      </w:pPr>
      <w:bookmarkStart w:id="51" w:name="_GoBack"/>
      <w:bookmarkEnd w:id="51"/>
      <w:r>
        <w:rPr>
          <w:rFonts w:hint="eastAsia" w:ascii="宋体" w:hAnsi="宋体" w:cs="宋体"/>
          <w:b/>
          <w:color w:val="auto"/>
          <w:sz w:val="24"/>
          <w:lang w:val="en-US" w:eastAsia="zh-CN"/>
        </w:rPr>
        <w:t>2</w:t>
      </w:r>
      <w:r>
        <w:rPr>
          <w:rFonts w:hint="eastAsia" w:ascii="宋体" w:hAnsi="宋体" w:cs="宋体"/>
          <w:b/>
          <w:color w:val="auto"/>
          <w:sz w:val="24"/>
        </w:rPr>
        <w:t>、响应文件初审</w:t>
      </w:r>
    </w:p>
    <w:p>
      <w:pPr>
        <w:tabs>
          <w:tab w:val="left" w:pos="0"/>
        </w:tabs>
        <w:spacing w:line="360" w:lineRule="auto"/>
        <w:jc w:val="center"/>
        <w:rPr>
          <w:rFonts w:ascii="宋体" w:hAnsi="宋体" w:cs="宋体"/>
          <w:color w:val="auto"/>
          <w:sz w:val="24"/>
        </w:rPr>
      </w:pPr>
      <w:r>
        <w:rPr>
          <w:rFonts w:hint="eastAsia" w:ascii="宋体" w:hAnsi="宋体" w:cs="宋体"/>
          <w:b/>
          <w:color w:val="auto"/>
          <w:sz w:val="24"/>
        </w:rPr>
        <w:t>初步审查表</w:t>
      </w:r>
    </w:p>
    <w:tbl>
      <w:tblPr>
        <w:tblStyle w:val="3"/>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4999"/>
        <w:gridCol w:w="1691"/>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6585" w:type="dxa"/>
            <w:gridSpan w:val="2"/>
            <w:vAlign w:val="center"/>
          </w:tcPr>
          <w:p>
            <w:pPr>
              <w:pStyle w:val="6"/>
              <w:spacing w:line="360" w:lineRule="auto"/>
              <w:jc w:val="center"/>
              <w:rPr>
                <w:rFonts w:ascii="宋体" w:hAnsi="宋体" w:cs="宋体"/>
                <w:color w:val="auto"/>
                <w:sz w:val="24"/>
              </w:rPr>
            </w:pPr>
            <w:r>
              <w:rPr>
                <w:rFonts w:hint="eastAsia" w:ascii="宋体" w:hAnsi="宋体" w:cs="宋体"/>
                <w:color w:val="auto"/>
                <w:sz w:val="24"/>
              </w:rPr>
              <w:t>评审内容</w:t>
            </w:r>
          </w:p>
        </w:tc>
        <w:tc>
          <w:tcPr>
            <w:tcW w:w="1691" w:type="dxa"/>
            <w:vAlign w:val="center"/>
          </w:tcPr>
          <w:p>
            <w:pPr>
              <w:pStyle w:val="6"/>
              <w:spacing w:line="360" w:lineRule="auto"/>
              <w:jc w:val="center"/>
              <w:rPr>
                <w:rFonts w:ascii="宋体" w:hAnsi="宋体" w:cs="宋体"/>
                <w:color w:val="auto"/>
                <w:sz w:val="24"/>
              </w:rPr>
            </w:pPr>
            <w:r>
              <w:rPr>
                <w:rFonts w:hint="eastAsia" w:ascii="宋体" w:hAnsi="宋体" w:cs="宋体"/>
                <w:color w:val="auto"/>
                <w:sz w:val="24"/>
              </w:rPr>
              <w:t>A供应商</w:t>
            </w:r>
          </w:p>
        </w:tc>
        <w:tc>
          <w:tcPr>
            <w:tcW w:w="1103" w:type="dxa"/>
            <w:vAlign w:val="center"/>
          </w:tcPr>
          <w:p>
            <w:pPr>
              <w:pStyle w:val="6"/>
              <w:spacing w:line="360" w:lineRule="auto"/>
              <w:jc w:val="center"/>
              <w:rPr>
                <w:rFonts w:ascii="宋体" w:hAnsi="宋体" w:cs="宋体"/>
                <w:color w:val="auto"/>
                <w:sz w:val="24"/>
              </w:rPr>
            </w:pPr>
            <w:r>
              <w:rPr>
                <w:rFonts w:hint="eastAsia" w:ascii="宋体" w:hAnsi="宋体" w:cs="宋体"/>
                <w:color w:val="auto"/>
                <w:sz w:val="24"/>
              </w:rPr>
              <w:t>B供应商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86" w:type="dxa"/>
            <w:vAlign w:val="center"/>
          </w:tcPr>
          <w:p>
            <w:pPr>
              <w:pStyle w:val="6"/>
              <w:spacing w:line="360" w:lineRule="auto"/>
              <w:jc w:val="center"/>
              <w:rPr>
                <w:rFonts w:ascii="宋体" w:hAnsi="宋体" w:cs="宋体"/>
                <w:color w:val="auto"/>
                <w:sz w:val="24"/>
              </w:rPr>
            </w:pPr>
            <w:r>
              <w:rPr>
                <w:rFonts w:hint="eastAsia" w:ascii="宋体" w:hAnsi="宋体" w:cs="宋体"/>
                <w:color w:val="auto"/>
                <w:sz w:val="24"/>
              </w:rPr>
              <w:t>资格性审查</w:t>
            </w:r>
          </w:p>
        </w:tc>
        <w:tc>
          <w:tcPr>
            <w:tcW w:w="4999" w:type="dxa"/>
            <w:vAlign w:val="center"/>
          </w:tcPr>
          <w:p>
            <w:pPr>
              <w:pStyle w:val="6"/>
              <w:spacing w:line="360" w:lineRule="auto"/>
              <w:jc w:val="center"/>
              <w:rPr>
                <w:rFonts w:ascii="宋体" w:hAnsi="宋体" w:cs="宋体"/>
                <w:color w:val="auto"/>
                <w:sz w:val="24"/>
              </w:rPr>
            </w:pPr>
            <w:r>
              <w:rPr>
                <w:rFonts w:hint="eastAsia" w:ascii="宋体" w:hAnsi="宋体" w:cs="宋体"/>
                <w:color w:val="auto"/>
                <w:sz w:val="24"/>
              </w:rPr>
              <w:t>投标人资质是否符合“供应商资格要求”</w:t>
            </w:r>
          </w:p>
        </w:tc>
        <w:tc>
          <w:tcPr>
            <w:tcW w:w="1691" w:type="dxa"/>
          </w:tcPr>
          <w:p>
            <w:pPr>
              <w:pStyle w:val="6"/>
              <w:spacing w:line="360" w:lineRule="auto"/>
              <w:rPr>
                <w:rFonts w:ascii="宋体" w:hAnsi="宋体" w:cs="宋体"/>
                <w:color w:val="auto"/>
                <w:sz w:val="24"/>
              </w:rPr>
            </w:pPr>
          </w:p>
        </w:tc>
        <w:tc>
          <w:tcPr>
            <w:tcW w:w="1103" w:type="dxa"/>
            <w:vAlign w:val="center"/>
          </w:tcPr>
          <w:p>
            <w:pPr>
              <w:pStyle w:val="6"/>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86" w:type="dxa"/>
            <w:vMerge w:val="restart"/>
            <w:vAlign w:val="center"/>
          </w:tcPr>
          <w:p>
            <w:pPr>
              <w:pStyle w:val="6"/>
              <w:spacing w:line="360" w:lineRule="auto"/>
              <w:jc w:val="center"/>
              <w:rPr>
                <w:rFonts w:ascii="宋体" w:hAnsi="宋体" w:cs="宋体"/>
                <w:color w:val="auto"/>
                <w:sz w:val="24"/>
              </w:rPr>
            </w:pPr>
            <w:r>
              <w:rPr>
                <w:rFonts w:hint="eastAsia" w:ascii="宋体" w:hAnsi="宋体" w:cs="宋体"/>
                <w:color w:val="auto"/>
                <w:sz w:val="24"/>
              </w:rPr>
              <w:t>符合性审查</w:t>
            </w:r>
          </w:p>
        </w:tc>
        <w:tc>
          <w:tcPr>
            <w:tcW w:w="4999" w:type="dxa"/>
            <w:vAlign w:val="center"/>
          </w:tcPr>
          <w:p>
            <w:pPr>
              <w:pStyle w:val="6"/>
              <w:spacing w:line="360" w:lineRule="auto"/>
              <w:jc w:val="center"/>
              <w:rPr>
                <w:rFonts w:ascii="宋体" w:hAnsi="宋体" w:cs="宋体"/>
                <w:color w:val="auto"/>
                <w:sz w:val="24"/>
              </w:rPr>
            </w:pPr>
            <w:r>
              <w:rPr>
                <w:rFonts w:hint="eastAsia" w:ascii="宋体" w:hAnsi="宋体" w:cs="宋体"/>
                <w:color w:val="auto"/>
                <w:sz w:val="24"/>
              </w:rPr>
              <w:t>投标文件符合询价文件的式样和签署要求</w:t>
            </w:r>
          </w:p>
        </w:tc>
        <w:tc>
          <w:tcPr>
            <w:tcW w:w="1691" w:type="dxa"/>
          </w:tcPr>
          <w:p>
            <w:pPr>
              <w:pStyle w:val="6"/>
              <w:spacing w:line="360" w:lineRule="auto"/>
              <w:rPr>
                <w:rFonts w:ascii="宋体" w:hAnsi="宋体" w:cs="宋体"/>
                <w:color w:val="auto"/>
                <w:sz w:val="24"/>
              </w:rPr>
            </w:pPr>
          </w:p>
        </w:tc>
        <w:tc>
          <w:tcPr>
            <w:tcW w:w="1103" w:type="dxa"/>
            <w:vAlign w:val="center"/>
          </w:tcPr>
          <w:p>
            <w:pPr>
              <w:pStyle w:val="6"/>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86" w:type="dxa"/>
            <w:vMerge w:val="continue"/>
            <w:vAlign w:val="center"/>
          </w:tcPr>
          <w:p>
            <w:pPr>
              <w:pStyle w:val="6"/>
              <w:spacing w:line="360" w:lineRule="auto"/>
              <w:jc w:val="center"/>
              <w:rPr>
                <w:rFonts w:ascii="宋体" w:hAnsi="宋体" w:cs="宋体"/>
                <w:color w:val="auto"/>
                <w:sz w:val="24"/>
              </w:rPr>
            </w:pPr>
          </w:p>
        </w:tc>
        <w:tc>
          <w:tcPr>
            <w:tcW w:w="4999" w:type="dxa"/>
            <w:vAlign w:val="center"/>
          </w:tcPr>
          <w:p>
            <w:pPr>
              <w:pStyle w:val="6"/>
              <w:spacing w:line="360" w:lineRule="auto"/>
              <w:jc w:val="center"/>
              <w:rPr>
                <w:rFonts w:ascii="宋体" w:hAnsi="宋体" w:cs="宋体"/>
                <w:color w:val="auto"/>
                <w:sz w:val="24"/>
              </w:rPr>
            </w:pPr>
            <w:r>
              <w:rPr>
                <w:rFonts w:hint="eastAsia" w:ascii="宋体" w:hAnsi="宋体" w:cs="宋体"/>
                <w:color w:val="auto"/>
                <w:sz w:val="24"/>
              </w:rPr>
              <w:t>投标报价是固定唯一价</w:t>
            </w:r>
          </w:p>
        </w:tc>
        <w:tc>
          <w:tcPr>
            <w:tcW w:w="1691" w:type="dxa"/>
          </w:tcPr>
          <w:p>
            <w:pPr>
              <w:pStyle w:val="6"/>
              <w:spacing w:line="360" w:lineRule="auto"/>
              <w:rPr>
                <w:rFonts w:ascii="宋体" w:hAnsi="宋体" w:cs="宋体"/>
                <w:color w:val="auto"/>
                <w:sz w:val="24"/>
              </w:rPr>
            </w:pPr>
          </w:p>
        </w:tc>
        <w:tc>
          <w:tcPr>
            <w:tcW w:w="1103" w:type="dxa"/>
            <w:vAlign w:val="center"/>
          </w:tcPr>
          <w:p>
            <w:pPr>
              <w:pStyle w:val="6"/>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86" w:type="dxa"/>
            <w:vMerge w:val="continue"/>
            <w:vAlign w:val="center"/>
          </w:tcPr>
          <w:p>
            <w:pPr>
              <w:pStyle w:val="6"/>
              <w:spacing w:line="360" w:lineRule="auto"/>
              <w:jc w:val="center"/>
              <w:rPr>
                <w:rFonts w:ascii="宋体" w:hAnsi="宋体" w:cs="宋体"/>
                <w:color w:val="auto"/>
                <w:sz w:val="24"/>
              </w:rPr>
            </w:pPr>
          </w:p>
        </w:tc>
        <w:tc>
          <w:tcPr>
            <w:tcW w:w="4999" w:type="dxa"/>
            <w:vAlign w:val="center"/>
          </w:tcPr>
          <w:p>
            <w:pPr>
              <w:pStyle w:val="6"/>
              <w:spacing w:line="360" w:lineRule="auto"/>
              <w:jc w:val="center"/>
              <w:rPr>
                <w:rFonts w:ascii="宋体" w:hAnsi="宋体" w:cs="宋体"/>
                <w:color w:val="auto"/>
                <w:sz w:val="24"/>
              </w:rPr>
            </w:pPr>
            <w:r>
              <w:rPr>
                <w:rFonts w:hint="eastAsia" w:ascii="宋体" w:hAnsi="宋体" w:cs="宋体"/>
                <w:color w:val="auto"/>
                <w:sz w:val="24"/>
              </w:rPr>
              <w:t>投标文件未按规定的格式填写</w:t>
            </w:r>
          </w:p>
        </w:tc>
        <w:tc>
          <w:tcPr>
            <w:tcW w:w="1691" w:type="dxa"/>
          </w:tcPr>
          <w:p>
            <w:pPr>
              <w:pStyle w:val="6"/>
              <w:spacing w:line="360" w:lineRule="auto"/>
              <w:rPr>
                <w:rFonts w:ascii="宋体" w:hAnsi="宋体" w:cs="宋体"/>
                <w:color w:val="auto"/>
                <w:sz w:val="24"/>
              </w:rPr>
            </w:pPr>
          </w:p>
        </w:tc>
        <w:tc>
          <w:tcPr>
            <w:tcW w:w="1103" w:type="dxa"/>
            <w:vAlign w:val="center"/>
          </w:tcPr>
          <w:p>
            <w:pPr>
              <w:pStyle w:val="6"/>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585" w:type="dxa"/>
            <w:gridSpan w:val="2"/>
            <w:vAlign w:val="center"/>
          </w:tcPr>
          <w:p>
            <w:pPr>
              <w:pStyle w:val="6"/>
              <w:spacing w:line="360" w:lineRule="auto"/>
              <w:rPr>
                <w:rFonts w:ascii="宋体" w:hAnsi="宋体" w:cs="宋体"/>
                <w:color w:val="auto"/>
                <w:sz w:val="24"/>
              </w:rPr>
            </w:pPr>
            <w:r>
              <w:rPr>
                <w:rFonts w:hint="eastAsia" w:ascii="宋体" w:hAnsi="宋体" w:cs="宋体"/>
                <w:color w:val="auto"/>
                <w:sz w:val="24"/>
              </w:rPr>
              <w:t>结  论</w:t>
            </w:r>
          </w:p>
        </w:tc>
        <w:tc>
          <w:tcPr>
            <w:tcW w:w="1691" w:type="dxa"/>
            <w:vAlign w:val="center"/>
          </w:tcPr>
          <w:p>
            <w:pPr>
              <w:pStyle w:val="6"/>
              <w:spacing w:line="360" w:lineRule="auto"/>
              <w:rPr>
                <w:rFonts w:ascii="宋体" w:hAnsi="宋体" w:cs="宋体"/>
                <w:color w:val="auto"/>
                <w:sz w:val="24"/>
              </w:rPr>
            </w:pPr>
          </w:p>
        </w:tc>
        <w:tc>
          <w:tcPr>
            <w:tcW w:w="1103" w:type="dxa"/>
            <w:vAlign w:val="center"/>
          </w:tcPr>
          <w:p>
            <w:pPr>
              <w:pStyle w:val="6"/>
              <w:spacing w:line="360" w:lineRule="auto"/>
              <w:rPr>
                <w:rFonts w:ascii="宋体" w:hAnsi="宋体" w:cs="宋体"/>
                <w:color w:val="auto"/>
                <w:sz w:val="24"/>
              </w:rPr>
            </w:pPr>
          </w:p>
        </w:tc>
      </w:tr>
    </w:tbl>
    <w:p>
      <w:pPr>
        <w:pStyle w:val="6"/>
        <w:spacing w:line="360" w:lineRule="auto"/>
        <w:rPr>
          <w:rFonts w:ascii="宋体" w:hAnsi="宋体" w:cs="宋体"/>
          <w:color w:val="auto"/>
          <w:sz w:val="24"/>
        </w:rPr>
      </w:pPr>
      <w:r>
        <w:rPr>
          <w:rFonts w:hint="eastAsia" w:ascii="宋体" w:hAnsi="宋体" w:cs="宋体"/>
          <w:color w:val="auto"/>
          <w:sz w:val="24"/>
        </w:rPr>
        <w:t>1．评审时评委对供应商是否满足要求逐条标注评审意见，“是”标记为“○”，“否”标记为“×”；</w:t>
      </w:r>
    </w:p>
    <w:p>
      <w:pPr>
        <w:pStyle w:val="6"/>
        <w:spacing w:line="360" w:lineRule="auto"/>
        <w:rPr>
          <w:rFonts w:ascii="宋体" w:hAnsi="宋体" w:cs="宋体"/>
          <w:color w:val="auto"/>
          <w:sz w:val="24"/>
        </w:rPr>
      </w:pPr>
      <w:r>
        <w:rPr>
          <w:rFonts w:hint="eastAsia" w:ascii="宋体" w:hAnsi="宋体" w:cs="宋体"/>
          <w:color w:val="auto"/>
          <w:sz w:val="24"/>
        </w:rPr>
        <w:t>2．评审结论栏统一填写为“通过”或“不通过” ，出现一个“×”为“不通过”；</w:t>
      </w:r>
    </w:p>
    <w:p>
      <w:pPr>
        <w:pStyle w:val="6"/>
        <w:spacing w:line="360" w:lineRule="auto"/>
        <w:rPr>
          <w:rFonts w:ascii="宋体" w:hAnsi="宋体" w:cs="宋体"/>
          <w:color w:val="auto"/>
          <w:sz w:val="24"/>
        </w:rPr>
      </w:pPr>
      <w:r>
        <w:rPr>
          <w:rFonts w:hint="eastAsia" w:ascii="宋体" w:hAnsi="宋体" w:cs="宋体"/>
          <w:color w:val="auto"/>
          <w:sz w:val="24"/>
        </w:rPr>
        <w:t>3．对结论为“不通过”的报价，要说明原因。</w:t>
      </w:r>
    </w:p>
    <w:p>
      <w:pPr>
        <w:tabs>
          <w:tab w:val="left" w:pos="0"/>
        </w:tabs>
        <w:spacing w:line="360" w:lineRule="auto"/>
        <w:rPr>
          <w:rFonts w:ascii="宋体" w:hAnsi="宋体" w:cs="宋体"/>
          <w:b/>
          <w:color w:val="auto"/>
          <w:sz w:val="24"/>
        </w:rPr>
      </w:pPr>
      <w:r>
        <w:rPr>
          <w:rFonts w:hint="eastAsia" w:ascii="宋体" w:hAnsi="宋体" w:cs="宋体"/>
          <w:b/>
          <w:color w:val="auto"/>
          <w:sz w:val="24"/>
        </w:rPr>
        <w:t>说明：以下为属无效报价的其他情形。</w:t>
      </w:r>
    </w:p>
    <w:p>
      <w:pPr>
        <w:numPr>
          <w:ilvl w:val="0"/>
          <w:numId w:val="4"/>
        </w:numPr>
        <w:tabs>
          <w:tab w:val="left" w:pos="0"/>
        </w:tabs>
        <w:spacing w:line="360" w:lineRule="auto"/>
        <w:ind w:left="0" w:firstLine="525"/>
        <w:rPr>
          <w:rFonts w:ascii="宋体" w:hAnsi="宋体" w:cs="宋体"/>
          <w:color w:val="auto"/>
          <w:sz w:val="24"/>
        </w:rPr>
      </w:pPr>
      <w:r>
        <w:rPr>
          <w:rFonts w:hint="eastAsia" w:ascii="宋体" w:hAnsi="宋体" w:cs="宋体"/>
          <w:color w:val="auto"/>
          <w:sz w:val="24"/>
        </w:rPr>
        <w:t>法定代表人或单位负责人为同一个人或者存在控股、管理关系的不同单位，同时参加本项目或同一子项目报价的；</w:t>
      </w:r>
    </w:p>
    <w:p>
      <w:pPr>
        <w:numPr>
          <w:ilvl w:val="0"/>
          <w:numId w:val="4"/>
        </w:numPr>
        <w:tabs>
          <w:tab w:val="left" w:pos="0"/>
        </w:tabs>
        <w:spacing w:line="360" w:lineRule="auto"/>
        <w:ind w:left="0" w:firstLine="525"/>
        <w:rPr>
          <w:rFonts w:ascii="宋体" w:hAnsi="宋体" w:cs="宋体"/>
          <w:color w:val="auto"/>
          <w:sz w:val="24"/>
        </w:rPr>
      </w:pPr>
      <w:r>
        <w:rPr>
          <w:rFonts w:hint="eastAsia" w:ascii="宋体" w:hAnsi="宋体" w:cs="宋体"/>
          <w:color w:val="auto"/>
          <w:sz w:val="24"/>
        </w:rPr>
        <w:t>评审期间，报价供应商没有按询价小组的要求澄清、说明、补正或改变了响应文件的实质性内容的；</w:t>
      </w:r>
    </w:p>
    <w:p>
      <w:pPr>
        <w:numPr>
          <w:ilvl w:val="0"/>
          <w:numId w:val="4"/>
        </w:numPr>
        <w:tabs>
          <w:tab w:val="left" w:pos="0"/>
        </w:tabs>
        <w:spacing w:line="360" w:lineRule="auto"/>
        <w:ind w:left="0" w:firstLine="525"/>
        <w:rPr>
          <w:rFonts w:ascii="宋体" w:hAnsi="宋体" w:cs="宋体"/>
          <w:color w:val="auto"/>
          <w:sz w:val="24"/>
        </w:rPr>
      </w:pPr>
      <w:r>
        <w:rPr>
          <w:rFonts w:hint="eastAsia" w:ascii="宋体" w:hAnsi="宋体" w:cs="宋体"/>
          <w:color w:val="auto"/>
          <w:sz w:val="24"/>
        </w:rPr>
        <w:t>报价供应商对采购人、采购代理、询价小组及其工作人员施加影响，有碍询价公平、公正的；</w:t>
      </w:r>
    </w:p>
    <w:p>
      <w:pPr>
        <w:numPr>
          <w:ilvl w:val="0"/>
          <w:numId w:val="4"/>
        </w:numPr>
        <w:tabs>
          <w:tab w:val="left" w:pos="0"/>
        </w:tabs>
        <w:spacing w:line="360" w:lineRule="auto"/>
        <w:ind w:left="0" w:firstLine="525"/>
        <w:rPr>
          <w:rFonts w:ascii="宋体" w:hAnsi="宋体" w:cs="宋体"/>
          <w:color w:val="auto"/>
          <w:sz w:val="24"/>
        </w:rPr>
      </w:pPr>
      <w:r>
        <w:rPr>
          <w:rFonts w:hint="eastAsia" w:ascii="宋体" w:hAnsi="宋体" w:cs="宋体"/>
          <w:color w:val="auto"/>
          <w:sz w:val="24"/>
        </w:rPr>
        <w:t>按有关法律、法规、规章规定属于无效报价的。</w:t>
      </w:r>
    </w:p>
    <w:p>
      <w:pPr>
        <w:tabs>
          <w:tab w:val="left" w:pos="0"/>
        </w:tabs>
        <w:spacing w:line="360" w:lineRule="auto"/>
        <w:ind w:left="542"/>
        <w:rPr>
          <w:rFonts w:ascii="宋体" w:hAnsi="宋体" w:cs="宋体"/>
          <w:color w:val="auto"/>
          <w:sz w:val="24"/>
        </w:rPr>
      </w:pPr>
      <w:r>
        <w:rPr>
          <w:rFonts w:hint="eastAsia" w:ascii="宋体" w:hAnsi="宋体" w:cs="宋体"/>
          <w:color w:val="auto"/>
          <w:sz w:val="24"/>
        </w:rPr>
        <w:t>对初审不合格或无效报价的，不再进入下一环节评审。</w:t>
      </w:r>
    </w:p>
    <w:p>
      <w:pPr>
        <w:tabs>
          <w:tab w:val="left" w:pos="0"/>
        </w:tabs>
        <w:spacing w:line="360" w:lineRule="auto"/>
        <w:ind w:firstLine="482" w:firstLineChars="200"/>
        <w:rPr>
          <w:rFonts w:ascii="宋体" w:hAnsi="宋体" w:cs="宋体"/>
          <w:b/>
          <w:color w:val="auto"/>
          <w:sz w:val="24"/>
        </w:rPr>
      </w:pPr>
      <w:r>
        <w:rPr>
          <w:rFonts w:hint="eastAsia" w:ascii="宋体" w:hAnsi="宋体" w:cs="宋体"/>
          <w:b/>
          <w:color w:val="auto"/>
          <w:sz w:val="24"/>
        </w:rPr>
        <w:t>3、计算评标基准价并计算价格得分（</w:t>
      </w:r>
      <w:r>
        <w:rPr>
          <w:rFonts w:hint="eastAsia" w:ascii="宋体" w:hAnsi="宋体" w:cs="宋体"/>
          <w:b/>
          <w:color w:val="auto"/>
          <w:sz w:val="24"/>
          <w:lang w:val="en-US" w:eastAsia="zh-CN"/>
        </w:rPr>
        <w:t>6</w:t>
      </w:r>
      <w:r>
        <w:rPr>
          <w:rFonts w:hint="eastAsia" w:ascii="宋体" w:hAnsi="宋体" w:cs="宋体"/>
          <w:b/>
          <w:color w:val="auto"/>
          <w:sz w:val="24"/>
        </w:rPr>
        <w:t>0分）</w:t>
      </w:r>
    </w:p>
    <w:p>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评标时，取通过投标文件有效性审查并经算术校核的投标单位取算术平均值作为评标基准价。各投标人报价与基准价相比较，投标人报价每高1%，扣1.5分，投标人报价每低1%，扣1分，最多扣除的分数不能超过经济标报价评分标准的最大值。</w:t>
      </w:r>
    </w:p>
    <w:p>
      <w:pPr>
        <w:tabs>
          <w:tab w:val="left" w:pos="0"/>
        </w:tabs>
        <w:spacing w:line="360" w:lineRule="auto"/>
        <w:ind w:firstLine="482" w:firstLineChars="200"/>
        <w:rPr>
          <w:rFonts w:ascii="宋体" w:hAnsi="宋体" w:cs="宋体"/>
          <w:b/>
          <w:color w:val="auto"/>
          <w:sz w:val="24"/>
        </w:rPr>
      </w:pPr>
      <w:r>
        <w:rPr>
          <w:rFonts w:hint="eastAsia" w:ascii="宋体" w:hAnsi="宋体" w:cs="宋体"/>
          <w:b/>
          <w:color w:val="auto"/>
          <w:sz w:val="24"/>
        </w:rPr>
        <w:t>4、计算类似项目业绩（20分）</w:t>
      </w:r>
    </w:p>
    <w:p>
      <w:pPr>
        <w:spacing w:line="360" w:lineRule="auto"/>
        <w:ind w:firstLine="480" w:firstLineChars="200"/>
        <w:rPr>
          <w:rFonts w:ascii="宋体" w:hAnsi="宋体" w:cs="宋体"/>
          <w:color w:val="auto"/>
          <w:sz w:val="24"/>
        </w:rPr>
      </w:pPr>
      <w:r>
        <w:rPr>
          <w:rFonts w:hint="eastAsia" w:ascii="宋体" w:hAnsi="宋体" w:cs="宋体"/>
          <w:color w:val="auto"/>
          <w:sz w:val="24"/>
        </w:rPr>
        <w:t>供应商自2017年1月1日至至今完成过类似项目业绩，每项得2分。最高得20分。不提供证明资料不得分。（注：业绩需要提供证明材料，合同或中标（成交）书）。</w:t>
      </w:r>
    </w:p>
    <w:p>
      <w:pPr>
        <w:tabs>
          <w:tab w:val="left" w:pos="0"/>
        </w:tabs>
        <w:spacing w:line="360" w:lineRule="auto"/>
        <w:ind w:left="420" w:leftChars="200"/>
        <w:rPr>
          <w:rFonts w:ascii="宋体" w:hAnsi="宋体" w:cs="宋体"/>
          <w:b/>
          <w:color w:val="auto"/>
          <w:sz w:val="24"/>
        </w:rPr>
      </w:pPr>
      <w:r>
        <w:rPr>
          <w:rFonts w:hint="eastAsia" w:ascii="宋体" w:hAnsi="宋体" w:cs="宋体"/>
          <w:b/>
          <w:color w:val="auto"/>
          <w:sz w:val="24"/>
          <w:lang w:val="en-US" w:eastAsia="zh-CN"/>
        </w:rPr>
        <w:t>5</w:t>
      </w:r>
      <w:r>
        <w:rPr>
          <w:rFonts w:hint="eastAsia" w:ascii="宋体" w:hAnsi="宋体" w:cs="宋体"/>
          <w:b/>
          <w:color w:val="auto"/>
          <w:sz w:val="24"/>
        </w:rPr>
        <w:t>、</w:t>
      </w:r>
      <w:r>
        <w:rPr>
          <w:rFonts w:ascii="宋体" w:hAnsi="宋体" w:eastAsia="宋体" w:cs="宋体"/>
          <w:b/>
          <w:bCs/>
          <w:kern w:val="2"/>
          <w:sz w:val="24"/>
          <w:szCs w:val="22"/>
          <w:rtl w:val="0"/>
          <w:lang w:val="en-US" w:eastAsia="zh-CN" w:bidi="ar-SA"/>
        </w:rPr>
        <w:t>配送</w:t>
      </w:r>
      <w:r>
        <w:rPr>
          <w:rFonts w:hint="eastAsia" w:ascii="宋体" w:hAnsi="宋体" w:eastAsia="宋体" w:cs="宋体"/>
          <w:b/>
          <w:bCs/>
          <w:kern w:val="2"/>
          <w:sz w:val="24"/>
          <w:szCs w:val="22"/>
          <w:rtl w:val="0"/>
          <w:lang w:val="en-US" w:eastAsia="zh-CN" w:bidi="ar-SA"/>
        </w:rPr>
        <w:t>、安装</w:t>
      </w:r>
      <w:r>
        <w:rPr>
          <w:rFonts w:ascii="宋体" w:hAnsi="宋体" w:eastAsia="宋体" w:cs="宋体"/>
          <w:b/>
          <w:bCs/>
          <w:kern w:val="2"/>
          <w:sz w:val="24"/>
          <w:szCs w:val="22"/>
          <w:rtl w:val="0"/>
          <w:lang w:val="en-US" w:eastAsia="zh-CN" w:bidi="ar-SA"/>
        </w:rPr>
        <w:t>服务方案</w:t>
      </w:r>
      <w:r>
        <w:rPr>
          <w:rFonts w:hint="eastAsia" w:ascii="宋体" w:hAnsi="宋体" w:cs="宋体"/>
          <w:b/>
          <w:bCs/>
          <w:color w:val="auto"/>
          <w:sz w:val="24"/>
        </w:rPr>
        <w:t>（10分）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2"/>
          <w:rtl w:val="0"/>
          <w:lang w:val="en-US" w:eastAsia="zh-CN" w:bidi="ar-SA"/>
        </w:rPr>
      </w:pPr>
      <w:r>
        <w:rPr>
          <w:rFonts w:ascii="宋体" w:hAnsi="宋体" w:eastAsia="宋体" w:cs="宋体"/>
          <w:kern w:val="2"/>
          <w:sz w:val="24"/>
          <w:szCs w:val="22"/>
          <w:rtl w:val="0"/>
          <w:lang w:val="en-US" w:eastAsia="zh-CN" w:bidi="ar-SA"/>
        </w:rPr>
        <w:t>根据各</w:t>
      </w:r>
      <w:r>
        <w:rPr>
          <w:rFonts w:hint="eastAsia" w:ascii="宋体" w:hAnsi="宋体" w:eastAsia="宋体" w:cs="宋体"/>
          <w:kern w:val="2"/>
          <w:sz w:val="24"/>
          <w:szCs w:val="22"/>
          <w:rtl w:val="0"/>
          <w:lang w:val="en-US" w:eastAsia="zh-CN" w:bidi="ar-SA"/>
        </w:rPr>
        <w:t>供应商</w:t>
      </w:r>
      <w:r>
        <w:rPr>
          <w:rFonts w:ascii="宋体" w:hAnsi="宋体" w:eastAsia="宋体" w:cs="宋体"/>
          <w:kern w:val="2"/>
          <w:sz w:val="24"/>
          <w:szCs w:val="22"/>
          <w:rtl w:val="0"/>
          <w:lang w:val="en-US" w:eastAsia="zh-CN" w:bidi="ar-SA"/>
        </w:rPr>
        <w:t>的配送</w:t>
      </w:r>
      <w:r>
        <w:rPr>
          <w:rFonts w:hint="eastAsia" w:ascii="宋体" w:hAnsi="宋体" w:eastAsia="宋体" w:cs="宋体"/>
          <w:kern w:val="2"/>
          <w:sz w:val="24"/>
          <w:szCs w:val="22"/>
          <w:rtl w:val="0"/>
          <w:lang w:val="en-US" w:eastAsia="zh-CN" w:bidi="ar-SA"/>
        </w:rPr>
        <w:t>、安装服务</w:t>
      </w:r>
      <w:r>
        <w:rPr>
          <w:rFonts w:ascii="宋体" w:hAnsi="宋体" w:eastAsia="宋体" w:cs="宋体"/>
          <w:kern w:val="2"/>
          <w:sz w:val="24"/>
          <w:szCs w:val="22"/>
          <w:rtl w:val="0"/>
          <w:lang w:val="en-US" w:eastAsia="zh-CN" w:bidi="ar-SA"/>
        </w:rPr>
        <w:t xml:space="preserve">方案的完整性、具体性、合理性、可行性等进行评审： </w:t>
      </w:r>
      <w:r>
        <w:rPr>
          <w:rFonts w:hint="eastAsia" w:ascii="宋体" w:hAnsi="宋体" w:eastAsia="宋体" w:cs="宋体"/>
          <w:kern w:val="2"/>
          <w:sz w:val="24"/>
          <w:szCs w:val="22"/>
          <w:rtl w:val="0"/>
          <w:lang w:val="en-US" w:eastAsia="zh-CN" w:bidi="ar-SA"/>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2"/>
          <w:rtl w:val="0"/>
          <w:lang w:val="en-US" w:eastAsia="zh-CN" w:bidi="ar-SA"/>
        </w:rPr>
      </w:pPr>
      <w:r>
        <w:rPr>
          <w:rFonts w:hint="eastAsia" w:ascii="宋体" w:hAnsi="宋体" w:eastAsia="宋体" w:cs="宋体"/>
          <w:kern w:val="2"/>
          <w:sz w:val="24"/>
          <w:szCs w:val="22"/>
          <w:rtl w:val="0"/>
          <w:lang w:val="en-US" w:eastAsia="zh-CN" w:bidi="ar-SA"/>
        </w:rPr>
        <w:t>（1）</w:t>
      </w:r>
      <w:r>
        <w:rPr>
          <w:rFonts w:ascii="宋体" w:hAnsi="宋体" w:eastAsia="宋体" w:cs="宋体"/>
          <w:kern w:val="2"/>
          <w:sz w:val="24"/>
          <w:szCs w:val="22"/>
          <w:rtl w:val="0"/>
          <w:lang w:val="en-US" w:eastAsia="zh-CN" w:bidi="ar-SA"/>
        </w:rPr>
        <w:t xml:space="preserve">方案详细、具体、完整、合理，可行性高的，得10分；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2"/>
          <w:rtl w:val="0"/>
          <w:lang w:val="en-US" w:eastAsia="zh-CN" w:bidi="ar-SA"/>
        </w:rPr>
      </w:pPr>
      <w:r>
        <w:rPr>
          <w:rFonts w:hint="eastAsia" w:ascii="宋体" w:hAnsi="宋体" w:eastAsia="宋体" w:cs="宋体"/>
          <w:kern w:val="2"/>
          <w:sz w:val="24"/>
          <w:szCs w:val="22"/>
          <w:rtl w:val="0"/>
          <w:lang w:val="en-US" w:eastAsia="zh-CN" w:bidi="ar-SA"/>
        </w:rPr>
        <w:t>（2）</w:t>
      </w:r>
      <w:r>
        <w:rPr>
          <w:rFonts w:ascii="宋体" w:hAnsi="宋体" w:eastAsia="宋体" w:cs="宋体"/>
          <w:kern w:val="2"/>
          <w:sz w:val="24"/>
          <w:szCs w:val="22"/>
          <w:rtl w:val="0"/>
          <w:lang w:val="en-US" w:eastAsia="zh-CN" w:bidi="ar-SA"/>
        </w:rPr>
        <w:t>方案较详细、较具体、较完整、较合理可行的，得</w:t>
      </w:r>
      <w:r>
        <w:rPr>
          <w:rFonts w:hint="eastAsia" w:ascii="宋体" w:hAnsi="宋体" w:eastAsia="宋体" w:cs="宋体"/>
          <w:kern w:val="2"/>
          <w:sz w:val="24"/>
          <w:szCs w:val="22"/>
          <w:rtl w:val="0"/>
          <w:lang w:val="en-US" w:eastAsia="zh-CN" w:bidi="ar-SA"/>
        </w:rPr>
        <w:t>6</w:t>
      </w:r>
      <w:r>
        <w:rPr>
          <w:rFonts w:ascii="宋体" w:hAnsi="宋体" w:eastAsia="宋体" w:cs="宋体"/>
          <w:kern w:val="2"/>
          <w:sz w:val="24"/>
          <w:szCs w:val="22"/>
          <w:rtl w:val="0"/>
          <w:lang w:val="en-US" w:eastAsia="zh-CN" w:bidi="ar-SA"/>
        </w:rPr>
        <w:t xml:space="preserve">分；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2"/>
          <w:rtl w:val="0"/>
          <w:lang w:val="en-US" w:eastAsia="zh-CN" w:bidi="ar-SA"/>
        </w:rPr>
      </w:pPr>
      <w:r>
        <w:rPr>
          <w:rFonts w:hint="eastAsia" w:ascii="宋体" w:hAnsi="宋体" w:eastAsia="宋体" w:cs="宋体"/>
          <w:kern w:val="2"/>
          <w:sz w:val="24"/>
          <w:szCs w:val="22"/>
          <w:rtl w:val="0"/>
          <w:lang w:val="en-US" w:eastAsia="zh-CN" w:bidi="ar-SA"/>
        </w:rPr>
        <w:t>（3）</w:t>
      </w:r>
      <w:r>
        <w:rPr>
          <w:rFonts w:ascii="宋体" w:hAnsi="宋体" w:eastAsia="宋体" w:cs="宋体"/>
          <w:kern w:val="2"/>
          <w:sz w:val="24"/>
          <w:szCs w:val="22"/>
          <w:rtl w:val="0"/>
          <w:lang w:val="en-US" w:eastAsia="zh-CN" w:bidi="ar-SA"/>
        </w:rPr>
        <w:t>方案较简单，可行性一般的，得</w:t>
      </w:r>
      <w:r>
        <w:rPr>
          <w:rFonts w:hint="eastAsia" w:ascii="宋体" w:hAnsi="宋体" w:eastAsia="宋体" w:cs="宋体"/>
          <w:kern w:val="2"/>
          <w:sz w:val="24"/>
          <w:szCs w:val="22"/>
          <w:rtl w:val="0"/>
          <w:lang w:val="en-US" w:eastAsia="zh-CN" w:bidi="ar-SA"/>
        </w:rPr>
        <w:t>3</w:t>
      </w:r>
      <w:r>
        <w:rPr>
          <w:rFonts w:ascii="宋体" w:hAnsi="宋体" w:eastAsia="宋体" w:cs="宋体"/>
          <w:kern w:val="2"/>
          <w:sz w:val="24"/>
          <w:szCs w:val="22"/>
          <w:rtl w:val="0"/>
          <w:lang w:val="en-US" w:eastAsia="zh-CN" w:bidi="ar-SA"/>
        </w:rPr>
        <w:t xml:space="preserve">分；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2"/>
          <w:rtl w:val="0"/>
          <w:lang w:val="en-US" w:eastAsia="zh-CN" w:bidi="ar-SA"/>
        </w:rPr>
      </w:pPr>
      <w:r>
        <w:rPr>
          <w:rFonts w:hint="eastAsia" w:ascii="宋体" w:hAnsi="宋体" w:eastAsia="宋体" w:cs="宋体"/>
          <w:kern w:val="2"/>
          <w:sz w:val="24"/>
          <w:szCs w:val="22"/>
          <w:rtl w:val="0"/>
          <w:lang w:val="en-US" w:eastAsia="zh-CN" w:bidi="ar-SA"/>
        </w:rPr>
        <w:t>（4）</w:t>
      </w:r>
      <w:r>
        <w:rPr>
          <w:rFonts w:ascii="宋体" w:hAnsi="宋体" w:eastAsia="宋体" w:cs="宋体"/>
          <w:kern w:val="2"/>
          <w:sz w:val="24"/>
          <w:szCs w:val="22"/>
          <w:rtl w:val="0"/>
          <w:lang w:val="en-US" w:eastAsia="zh-CN" w:bidi="ar-SA"/>
        </w:rPr>
        <w:t xml:space="preserve">方案差，可行性低的，得1分。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2"/>
          <w:rtl w:val="0"/>
          <w:lang w:val="en-US" w:eastAsia="zh-CN" w:bidi="ar-SA"/>
        </w:rPr>
      </w:pPr>
      <w:r>
        <w:rPr>
          <w:rFonts w:hint="eastAsia" w:ascii="宋体" w:hAnsi="宋体" w:eastAsia="宋体" w:cs="宋体"/>
          <w:kern w:val="2"/>
          <w:sz w:val="24"/>
          <w:szCs w:val="22"/>
          <w:rtl w:val="0"/>
          <w:lang w:val="en-US" w:eastAsia="zh-CN" w:bidi="ar-SA"/>
        </w:rPr>
        <w:t>（5）</w:t>
      </w:r>
      <w:r>
        <w:rPr>
          <w:rFonts w:ascii="宋体" w:hAnsi="宋体" w:eastAsia="宋体" w:cs="宋体"/>
          <w:kern w:val="2"/>
          <w:sz w:val="24"/>
          <w:szCs w:val="22"/>
          <w:rtl w:val="0"/>
          <w:lang w:val="en-US" w:eastAsia="zh-CN" w:bidi="ar-SA"/>
        </w:rPr>
        <w:t>无方案或其他情况，得0分。</w:t>
      </w:r>
    </w:p>
    <w:p>
      <w:pPr>
        <w:tabs>
          <w:tab w:val="left" w:pos="0"/>
        </w:tabs>
        <w:spacing w:line="360" w:lineRule="auto"/>
        <w:ind w:left="420" w:leftChars="200"/>
        <w:rPr>
          <w:rFonts w:ascii="宋体" w:hAnsi="宋体" w:cs="宋体"/>
          <w:b/>
          <w:color w:val="auto"/>
          <w:sz w:val="24"/>
        </w:rPr>
      </w:pPr>
      <w:r>
        <w:rPr>
          <w:rFonts w:hint="eastAsia" w:ascii="宋体" w:hAnsi="宋体" w:cs="宋体"/>
          <w:b/>
          <w:color w:val="auto"/>
          <w:sz w:val="24"/>
          <w:lang w:val="en-US" w:eastAsia="zh-CN"/>
        </w:rPr>
        <w:t>6</w:t>
      </w:r>
      <w:r>
        <w:rPr>
          <w:rFonts w:hint="eastAsia" w:ascii="宋体" w:hAnsi="宋体" w:cs="宋体"/>
          <w:b/>
          <w:color w:val="auto"/>
          <w:sz w:val="24"/>
        </w:rPr>
        <w:t>、退货换货承诺（10分）</w:t>
      </w:r>
    </w:p>
    <w:p>
      <w:pPr>
        <w:spacing w:line="360" w:lineRule="auto"/>
        <w:ind w:firstLine="480" w:firstLineChars="200"/>
        <w:rPr>
          <w:rFonts w:ascii="宋体" w:hAnsi="宋体" w:cs="宋体"/>
          <w:color w:val="auto"/>
          <w:sz w:val="24"/>
        </w:rPr>
      </w:pPr>
      <w:r>
        <w:rPr>
          <w:rFonts w:hint="eastAsia" w:ascii="宋体" w:hAnsi="宋体" w:cs="宋体"/>
          <w:color w:val="auto"/>
          <w:sz w:val="24"/>
        </w:rPr>
        <w:t>对各</w:t>
      </w:r>
      <w:r>
        <w:rPr>
          <w:rFonts w:hint="eastAsia" w:ascii="宋体" w:hAnsi="宋体" w:cs="宋体"/>
          <w:color w:val="auto"/>
          <w:sz w:val="24"/>
          <w:lang w:eastAsia="zh-CN"/>
        </w:rPr>
        <w:t>供应商</w:t>
      </w:r>
      <w:r>
        <w:rPr>
          <w:rFonts w:hint="eastAsia" w:ascii="宋体" w:hAnsi="宋体" w:cs="宋体"/>
          <w:color w:val="auto"/>
          <w:sz w:val="24"/>
        </w:rPr>
        <w:t>提供的产品质量</w:t>
      </w:r>
      <w:r>
        <w:rPr>
          <w:rFonts w:hint="eastAsia" w:ascii="宋体" w:hAnsi="宋体" w:cs="宋体"/>
          <w:color w:val="auto"/>
          <w:sz w:val="24"/>
          <w:lang w:eastAsia="zh-CN"/>
        </w:rPr>
        <w:t>及</w:t>
      </w:r>
      <w:r>
        <w:rPr>
          <w:rFonts w:hint="eastAsia" w:ascii="宋体" w:hAnsi="宋体" w:cs="宋体"/>
          <w:color w:val="auto"/>
          <w:sz w:val="24"/>
        </w:rPr>
        <w:t>退换货</w:t>
      </w:r>
      <w:r>
        <w:rPr>
          <w:rFonts w:hint="eastAsia" w:ascii="宋体" w:hAnsi="宋体" w:cs="宋体"/>
          <w:color w:val="auto"/>
          <w:sz w:val="24"/>
          <w:lang w:eastAsia="zh-CN"/>
        </w:rPr>
        <w:t>方案</w:t>
      </w:r>
      <w:r>
        <w:rPr>
          <w:rFonts w:hint="eastAsia" w:ascii="宋体" w:hAnsi="宋体" w:cs="宋体"/>
          <w:color w:val="auto"/>
          <w:sz w:val="24"/>
        </w:rPr>
        <w:t>进行评审：</w:t>
      </w:r>
    </w:p>
    <w:p>
      <w:pPr>
        <w:spacing w:line="360" w:lineRule="auto"/>
        <w:ind w:firstLine="480" w:firstLineChars="200"/>
        <w:rPr>
          <w:rFonts w:ascii="宋体" w:hAnsi="宋体" w:cs="宋体"/>
          <w:color w:val="auto"/>
          <w:sz w:val="24"/>
        </w:rPr>
      </w:pPr>
      <w:r>
        <w:rPr>
          <w:rFonts w:hint="eastAsia" w:ascii="宋体" w:hAnsi="宋体" w:cs="宋体"/>
          <w:color w:val="auto"/>
          <w:sz w:val="24"/>
        </w:rPr>
        <w:t>（1）可行性最高得10分；</w:t>
      </w:r>
    </w:p>
    <w:p>
      <w:pPr>
        <w:spacing w:line="360" w:lineRule="auto"/>
        <w:ind w:firstLine="480" w:firstLineChars="200"/>
        <w:rPr>
          <w:rFonts w:ascii="宋体" w:hAnsi="宋体" w:cs="宋体"/>
          <w:color w:val="auto"/>
          <w:sz w:val="24"/>
        </w:rPr>
      </w:pPr>
      <w:r>
        <w:rPr>
          <w:rFonts w:hint="eastAsia" w:ascii="宋体" w:hAnsi="宋体" w:cs="宋体"/>
          <w:color w:val="auto"/>
          <w:sz w:val="24"/>
        </w:rPr>
        <w:t>（2）可行性较高得5分；</w:t>
      </w:r>
    </w:p>
    <w:p>
      <w:pPr>
        <w:spacing w:line="360" w:lineRule="auto"/>
        <w:ind w:firstLine="480" w:firstLineChars="200"/>
        <w:rPr>
          <w:rFonts w:ascii="宋体" w:hAnsi="宋体" w:cs="宋体"/>
          <w:color w:val="auto"/>
          <w:sz w:val="24"/>
        </w:rPr>
      </w:pPr>
      <w:r>
        <w:rPr>
          <w:rFonts w:hint="eastAsia" w:ascii="宋体" w:hAnsi="宋体" w:cs="宋体"/>
          <w:color w:val="auto"/>
          <w:sz w:val="24"/>
        </w:rPr>
        <w:t>（3）可行性不高得 1 分；</w:t>
      </w:r>
    </w:p>
    <w:p>
      <w:pPr>
        <w:spacing w:line="360" w:lineRule="auto"/>
        <w:ind w:firstLine="480" w:firstLineChars="200"/>
        <w:rPr>
          <w:rFonts w:ascii="宋体" w:hAnsi="宋体" w:cs="宋体"/>
          <w:color w:val="auto"/>
          <w:sz w:val="24"/>
        </w:rPr>
      </w:pPr>
      <w:r>
        <w:rPr>
          <w:rFonts w:hint="eastAsia" w:ascii="宋体" w:hAnsi="宋体" w:cs="宋体"/>
          <w:color w:val="auto"/>
          <w:sz w:val="24"/>
        </w:rPr>
        <w:t>（4）可行性最差得 0分。</w:t>
      </w:r>
    </w:p>
    <w:p>
      <w:pPr>
        <w:tabs>
          <w:tab w:val="left" w:pos="0"/>
        </w:tabs>
        <w:spacing w:line="360" w:lineRule="auto"/>
        <w:ind w:left="473" w:leftChars="225"/>
        <w:rPr>
          <w:rFonts w:ascii="宋体" w:hAnsi="宋体" w:cs="宋体"/>
          <w:b/>
          <w:color w:val="auto"/>
          <w:sz w:val="24"/>
        </w:rPr>
      </w:pPr>
      <w:r>
        <w:rPr>
          <w:rFonts w:hint="eastAsia" w:ascii="宋体" w:hAnsi="宋体" w:cs="宋体"/>
          <w:b/>
          <w:color w:val="auto"/>
          <w:sz w:val="24"/>
          <w:lang w:val="en-US" w:eastAsia="zh-CN"/>
        </w:rPr>
        <w:t>7</w:t>
      </w:r>
      <w:r>
        <w:rPr>
          <w:rFonts w:hint="eastAsia" w:ascii="宋体" w:hAnsi="宋体" w:cs="宋体"/>
          <w:b/>
          <w:color w:val="auto"/>
          <w:sz w:val="24"/>
        </w:rPr>
        <w:t>、推荐成交供应商</w:t>
      </w:r>
    </w:p>
    <w:p>
      <w:pPr>
        <w:spacing w:line="360" w:lineRule="auto"/>
        <w:ind w:firstLine="540"/>
        <w:rPr>
          <w:rFonts w:ascii="宋体" w:hAnsi="宋体" w:cs="宋体"/>
          <w:b/>
          <w:color w:val="auto"/>
          <w:sz w:val="24"/>
        </w:rPr>
      </w:pPr>
      <w:r>
        <w:rPr>
          <w:rFonts w:hint="eastAsia" w:ascii="宋体" w:hAnsi="宋体" w:cs="宋体"/>
          <w:color w:val="auto"/>
          <w:kern w:val="0"/>
          <w:sz w:val="24"/>
        </w:rPr>
        <w:t>在质量和服务均能满足询价文件实质性响应要求的前提下，按照</w:t>
      </w:r>
      <w:r>
        <w:rPr>
          <w:rFonts w:hint="eastAsia" w:ascii="宋体" w:hAnsi="宋体" w:cs="宋体"/>
          <w:b/>
          <w:color w:val="auto"/>
          <w:kern w:val="0"/>
          <w:sz w:val="24"/>
        </w:rPr>
        <w:t>综合得分</w:t>
      </w:r>
      <w:r>
        <w:rPr>
          <w:rFonts w:hint="eastAsia" w:ascii="宋体" w:hAnsi="宋体" w:cs="宋体"/>
          <w:color w:val="auto"/>
          <w:kern w:val="0"/>
          <w:sz w:val="24"/>
        </w:rPr>
        <w:t>由高到低的顺序提出3名成交候选人，若出现得分相同，则报价低的供应商排名靠前；若报价相同，则由评标委员会以投票方式，得票多数的供应商排名靠前。</w:t>
      </w:r>
    </w:p>
    <w:p>
      <w:pPr>
        <w:keepNext w:val="0"/>
        <w:keepLines w:val="0"/>
        <w:pageBreakBefore w:val="0"/>
        <w:widowControl/>
        <w:kinsoku/>
        <w:wordWrap/>
        <w:overflowPunct/>
        <w:topLinePunct w:val="0"/>
        <w:autoSpaceDE/>
        <w:autoSpaceDN/>
        <w:bidi w:val="0"/>
        <w:adjustRightInd/>
        <w:snapToGrid/>
        <w:spacing w:line="360" w:lineRule="auto"/>
        <w:ind w:left="540"/>
        <w:textAlignment w:val="baseline"/>
        <w:outlineLvl w:val="9"/>
        <w:rPr>
          <w:rFonts w:ascii="宋体" w:hAnsi="宋体" w:cs="宋体"/>
          <w:b/>
          <w:color w:val="auto"/>
          <w:sz w:val="24"/>
        </w:rPr>
      </w:pPr>
      <w:bookmarkStart w:id="30" w:name="_Toc176852368"/>
      <w:bookmarkStart w:id="31" w:name="_Toc199817896"/>
      <w:bookmarkStart w:id="32" w:name="_Toc401231878"/>
      <w:bookmarkStart w:id="33" w:name="_Toc409514881"/>
      <w:bookmarkStart w:id="34" w:name="_Toc199817946"/>
      <w:bookmarkStart w:id="35" w:name="_Toc409515083"/>
      <w:bookmarkStart w:id="36" w:name="_Toc351989411"/>
      <w:r>
        <w:rPr>
          <w:rFonts w:hint="eastAsia" w:ascii="宋体" w:hAnsi="宋体" w:cs="宋体"/>
          <w:b/>
          <w:color w:val="auto"/>
          <w:sz w:val="24"/>
        </w:rPr>
        <w:t>五、项目采购失败的处理</w:t>
      </w:r>
      <w:bookmarkEnd w:id="30"/>
      <w:bookmarkEnd w:id="31"/>
      <w:bookmarkEnd w:id="32"/>
      <w:bookmarkEnd w:id="33"/>
      <w:bookmarkEnd w:id="34"/>
      <w:bookmarkEnd w:id="35"/>
      <w:bookmarkEnd w:id="36"/>
    </w:p>
    <w:p>
      <w:pPr>
        <w:keepNext w:val="0"/>
        <w:keepLines w:val="0"/>
        <w:pageBreakBefore w:val="0"/>
        <w:widowControl/>
        <w:kinsoku/>
        <w:wordWrap/>
        <w:overflowPunct/>
        <w:topLinePunct w:val="0"/>
        <w:autoSpaceDE/>
        <w:autoSpaceDN/>
        <w:bidi w:val="0"/>
        <w:adjustRightInd/>
        <w:snapToGrid/>
        <w:spacing w:line="360" w:lineRule="auto"/>
        <w:ind w:firstLine="540"/>
        <w:textAlignment w:val="baseline"/>
        <w:outlineLvl w:val="9"/>
        <w:rPr>
          <w:rFonts w:ascii="宋体" w:hAnsi="宋体" w:cs="宋体"/>
          <w:color w:val="auto"/>
          <w:sz w:val="24"/>
        </w:rPr>
      </w:pPr>
      <w:r>
        <w:rPr>
          <w:rFonts w:hint="eastAsia" w:ascii="宋体" w:hAnsi="宋体" w:cs="宋体"/>
          <w:color w:val="auto"/>
          <w:sz w:val="24"/>
        </w:rPr>
        <w:t>出现下列情况将作采购失败处理：</w:t>
      </w:r>
    </w:p>
    <w:p>
      <w:pPr>
        <w:keepNext w:val="0"/>
        <w:keepLines w:val="0"/>
        <w:pageBreakBefore w:val="0"/>
        <w:widowControl/>
        <w:numPr>
          <w:ilvl w:val="0"/>
          <w:numId w:val="5"/>
        </w:numPr>
        <w:tabs>
          <w:tab w:val="left" w:pos="0"/>
        </w:tabs>
        <w:kinsoku/>
        <w:wordWrap/>
        <w:overflowPunct/>
        <w:topLinePunct w:val="0"/>
        <w:autoSpaceDE/>
        <w:autoSpaceDN/>
        <w:bidi w:val="0"/>
        <w:adjustRightInd/>
        <w:snapToGrid/>
        <w:spacing w:line="360" w:lineRule="auto"/>
        <w:ind w:firstLine="480" w:firstLineChars="200"/>
        <w:textAlignment w:val="baseline"/>
        <w:outlineLvl w:val="9"/>
        <w:rPr>
          <w:rFonts w:ascii="宋体" w:hAnsi="宋体" w:cs="宋体"/>
          <w:color w:val="auto"/>
          <w:sz w:val="24"/>
        </w:rPr>
      </w:pPr>
      <w:r>
        <w:rPr>
          <w:rFonts w:hint="eastAsia" w:ascii="宋体" w:hAnsi="宋体" w:cs="宋体"/>
          <w:color w:val="auto"/>
          <w:sz w:val="24"/>
        </w:rPr>
        <w:t>因情况变化，不再符合规定的询价采购方式适用情形的；</w:t>
      </w:r>
    </w:p>
    <w:p>
      <w:pPr>
        <w:keepNext w:val="0"/>
        <w:keepLines w:val="0"/>
        <w:pageBreakBefore w:val="0"/>
        <w:widowControl/>
        <w:numPr>
          <w:ilvl w:val="0"/>
          <w:numId w:val="5"/>
        </w:numPr>
        <w:tabs>
          <w:tab w:val="left" w:pos="0"/>
        </w:tabs>
        <w:kinsoku/>
        <w:wordWrap/>
        <w:overflowPunct/>
        <w:topLinePunct w:val="0"/>
        <w:autoSpaceDE/>
        <w:autoSpaceDN/>
        <w:bidi w:val="0"/>
        <w:adjustRightInd/>
        <w:snapToGrid/>
        <w:spacing w:line="360" w:lineRule="auto"/>
        <w:ind w:firstLine="480" w:firstLineChars="200"/>
        <w:textAlignment w:val="baseline"/>
        <w:outlineLvl w:val="9"/>
        <w:rPr>
          <w:rFonts w:ascii="宋体" w:hAnsi="宋体" w:cs="宋体"/>
          <w:color w:val="auto"/>
          <w:sz w:val="24"/>
        </w:rPr>
      </w:pPr>
      <w:r>
        <w:rPr>
          <w:rFonts w:hint="eastAsia" w:ascii="宋体" w:hAnsi="宋体" w:cs="宋体"/>
          <w:color w:val="auto"/>
          <w:sz w:val="24"/>
        </w:rPr>
        <w:t>询价小组对询价文件有异议，不同意确认的；</w:t>
      </w:r>
    </w:p>
    <w:p>
      <w:pPr>
        <w:keepNext w:val="0"/>
        <w:keepLines w:val="0"/>
        <w:pageBreakBefore w:val="0"/>
        <w:widowControl/>
        <w:numPr>
          <w:ilvl w:val="0"/>
          <w:numId w:val="5"/>
        </w:numPr>
        <w:tabs>
          <w:tab w:val="left" w:pos="0"/>
        </w:tabs>
        <w:kinsoku/>
        <w:wordWrap/>
        <w:overflowPunct/>
        <w:topLinePunct w:val="0"/>
        <w:autoSpaceDE/>
        <w:autoSpaceDN/>
        <w:bidi w:val="0"/>
        <w:adjustRightInd/>
        <w:snapToGrid/>
        <w:spacing w:line="360" w:lineRule="auto"/>
        <w:ind w:firstLine="480" w:firstLineChars="200"/>
        <w:textAlignment w:val="baseline"/>
        <w:outlineLvl w:val="9"/>
        <w:rPr>
          <w:rFonts w:ascii="宋体" w:hAnsi="宋体" w:cs="宋体"/>
          <w:color w:val="auto"/>
          <w:sz w:val="24"/>
        </w:rPr>
      </w:pPr>
      <w:r>
        <w:rPr>
          <w:rFonts w:hint="eastAsia" w:ascii="宋体" w:hAnsi="宋体" w:cs="宋体"/>
          <w:color w:val="auto"/>
          <w:sz w:val="24"/>
        </w:rPr>
        <w:t>出现影响采购公正的违法、违规行为的；</w:t>
      </w:r>
    </w:p>
    <w:p>
      <w:pPr>
        <w:keepNext w:val="0"/>
        <w:keepLines w:val="0"/>
        <w:pageBreakBefore w:val="0"/>
        <w:widowControl/>
        <w:numPr>
          <w:ilvl w:val="0"/>
          <w:numId w:val="5"/>
        </w:numPr>
        <w:tabs>
          <w:tab w:val="left" w:pos="0"/>
        </w:tabs>
        <w:kinsoku/>
        <w:wordWrap/>
        <w:overflowPunct/>
        <w:topLinePunct w:val="0"/>
        <w:autoSpaceDE/>
        <w:autoSpaceDN/>
        <w:bidi w:val="0"/>
        <w:adjustRightInd/>
        <w:snapToGrid/>
        <w:spacing w:line="360" w:lineRule="auto"/>
        <w:ind w:firstLine="480" w:firstLineChars="200"/>
        <w:textAlignment w:val="baseline"/>
        <w:outlineLvl w:val="9"/>
        <w:rPr>
          <w:rFonts w:ascii="宋体" w:hAnsi="宋体" w:cs="宋体"/>
          <w:color w:val="auto"/>
          <w:sz w:val="24"/>
        </w:rPr>
      </w:pPr>
      <w:r>
        <w:rPr>
          <w:rFonts w:hint="eastAsia" w:ascii="宋体" w:hAnsi="宋体" w:cs="宋体"/>
          <w:color w:val="auto"/>
          <w:sz w:val="24"/>
        </w:rPr>
        <w:t>符合竞争要求的供应商或者报价未超过采购预算的供应商不足3家的；</w:t>
      </w:r>
    </w:p>
    <w:p>
      <w:pPr>
        <w:keepNext w:val="0"/>
        <w:keepLines w:val="0"/>
        <w:pageBreakBefore w:val="0"/>
        <w:widowControl/>
        <w:numPr>
          <w:ilvl w:val="0"/>
          <w:numId w:val="5"/>
        </w:numPr>
        <w:tabs>
          <w:tab w:val="left" w:pos="0"/>
        </w:tabs>
        <w:kinsoku/>
        <w:wordWrap/>
        <w:overflowPunct/>
        <w:topLinePunct w:val="0"/>
        <w:autoSpaceDE/>
        <w:autoSpaceDN/>
        <w:bidi w:val="0"/>
        <w:adjustRightInd/>
        <w:snapToGrid/>
        <w:spacing w:line="360" w:lineRule="auto"/>
        <w:ind w:firstLine="480" w:firstLineChars="200"/>
        <w:textAlignment w:val="baseline"/>
        <w:outlineLvl w:val="9"/>
        <w:rPr>
          <w:rFonts w:ascii="宋体" w:hAnsi="宋体" w:cs="宋体"/>
          <w:color w:val="auto"/>
          <w:sz w:val="24"/>
        </w:rPr>
      </w:pPr>
      <w:r>
        <w:rPr>
          <w:rFonts w:hint="eastAsia" w:ascii="宋体" w:hAnsi="宋体" w:cs="宋体"/>
          <w:color w:val="auto"/>
          <w:sz w:val="24"/>
        </w:rPr>
        <w:t>因重大变故，采购任务取消的。</w:t>
      </w:r>
    </w:p>
    <w:p>
      <w:pPr>
        <w:keepNext w:val="0"/>
        <w:keepLines w:val="0"/>
        <w:pageBreakBefore w:val="0"/>
        <w:widowControl/>
        <w:kinsoku/>
        <w:wordWrap/>
        <w:overflowPunct/>
        <w:topLinePunct w:val="0"/>
        <w:autoSpaceDE/>
        <w:autoSpaceDN/>
        <w:bidi w:val="0"/>
        <w:adjustRightInd/>
        <w:snapToGrid/>
        <w:spacing w:line="360" w:lineRule="auto"/>
        <w:ind w:left="540"/>
        <w:textAlignment w:val="baseline"/>
        <w:outlineLvl w:val="9"/>
        <w:rPr>
          <w:rFonts w:ascii="宋体" w:hAnsi="宋体" w:cs="宋体"/>
          <w:b/>
          <w:color w:val="auto"/>
          <w:sz w:val="24"/>
        </w:rPr>
      </w:pPr>
      <w:bookmarkStart w:id="37" w:name="_Toc199736958"/>
      <w:bookmarkStart w:id="38" w:name="_Toc199735928"/>
      <w:bookmarkStart w:id="39" w:name="_Toc199815440"/>
      <w:bookmarkStart w:id="40" w:name="_Toc199736012"/>
      <w:bookmarkStart w:id="41" w:name="_Toc395083527"/>
      <w:bookmarkStart w:id="42" w:name="_Toc401232234"/>
      <w:bookmarkStart w:id="43" w:name="_Toc176844894"/>
      <w:r>
        <w:rPr>
          <w:rFonts w:hint="eastAsia" w:ascii="宋体" w:hAnsi="宋体" w:cs="宋体"/>
          <w:b/>
          <w:color w:val="auto"/>
          <w:kern w:val="0"/>
          <w:sz w:val="24"/>
        </w:rPr>
        <w:t>六、</w:t>
      </w:r>
      <w:r>
        <w:rPr>
          <w:rFonts w:hint="eastAsia" w:ascii="宋体" w:hAnsi="宋体" w:cs="宋体"/>
          <w:b/>
          <w:color w:val="auto"/>
          <w:kern w:val="0"/>
          <w:sz w:val="24"/>
          <w:lang w:val="zh-CN"/>
        </w:rPr>
        <w:t>确定结果</w:t>
      </w:r>
      <w:bookmarkEnd w:id="37"/>
      <w:bookmarkEnd w:id="38"/>
      <w:bookmarkEnd w:id="39"/>
      <w:bookmarkEnd w:id="40"/>
      <w:bookmarkEnd w:id="41"/>
      <w:bookmarkEnd w:id="42"/>
      <w:bookmarkEnd w:id="43"/>
    </w:p>
    <w:p>
      <w:pPr>
        <w:keepNext w:val="0"/>
        <w:keepLines w:val="0"/>
        <w:pageBreakBefore w:val="0"/>
        <w:widowControl/>
        <w:numPr>
          <w:ilvl w:val="0"/>
          <w:numId w:val="6"/>
        </w:numPr>
        <w:tabs>
          <w:tab w:val="left" w:pos="0"/>
        </w:tabs>
        <w:kinsoku/>
        <w:wordWrap/>
        <w:overflowPunct/>
        <w:topLinePunct w:val="0"/>
        <w:autoSpaceDE/>
        <w:autoSpaceDN/>
        <w:bidi w:val="0"/>
        <w:adjustRightInd/>
        <w:snapToGrid/>
        <w:spacing w:line="360" w:lineRule="auto"/>
        <w:ind w:firstLine="480" w:firstLineChars="200"/>
        <w:textAlignment w:val="baseline"/>
        <w:outlineLvl w:val="9"/>
        <w:rPr>
          <w:rFonts w:ascii="宋体" w:hAnsi="宋体" w:cs="宋体"/>
          <w:color w:val="auto"/>
          <w:sz w:val="24"/>
        </w:rPr>
      </w:pPr>
      <w:r>
        <w:rPr>
          <w:rFonts w:hint="eastAsia" w:ascii="宋体" w:hAnsi="宋体" w:cs="宋体"/>
          <w:color w:val="auto"/>
          <w:sz w:val="24"/>
        </w:rPr>
        <w:t>采购代理应当在评审结束后将评审报告送采购人确认。</w:t>
      </w:r>
    </w:p>
    <w:p>
      <w:pPr>
        <w:keepNext w:val="0"/>
        <w:keepLines w:val="0"/>
        <w:pageBreakBefore w:val="0"/>
        <w:widowControl/>
        <w:numPr>
          <w:ilvl w:val="0"/>
          <w:numId w:val="6"/>
        </w:numPr>
        <w:tabs>
          <w:tab w:val="left" w:pos="0"/>
        </w:tabs>
        <w:kinsoku/>
        <w:wordWrap/>
        <w:overflowPunct/>
        <w:topLinePunct w:val="0"/>
        <w:autoSpaceDE/>
        <w:autoSpaceDN/>
        <w:bidi w:val="0"/>
        <w:adjustRightInd/>
        <w:snapToGrid/>
        <w:spacing w:line="360" w:lineRule="auto"/>
        <w:ind w:firstLine="480" w:firstLineChars="200"/>
        <w:textAlignment w:val="baseline"/>
        <w:outlineLvl w:val="9"/>
        <w:rPr>
          <w:rFonts w:ascii="宋体" w:hAnsi="宋体" w:cs="宋体"/>
          <w:color w:val="auto"/>
          <w:sz w:val="24"/>
        </w:rPr>
      </w:pPr>
      <w:r>
        <w:rPr>
          <w:rFonts w:hint="eastAsia" w:ascii="宋体" w:hAnsi="宋体" w:cs="宋体"/>
          <w:color w:val="auto"/>
          <w:sz w:val="24"/>
        </w:rPr>
        <w:t>采购人应当在收到评审报告后，从评审报告提出的成交候选人中，根据质量和服务均能满足询价文件实质性响应要求且最后报价最低（或排位最前）的原则确定成交供应商。采购结果确认后，采购代理将成交结果在信息发布网站上进行公告。不在成交名单之列者即为未成交供应商，采购代理不再以其它方式另行通知。</w:t>
      </w:r>
    </w:p>
    <w:p>
      <w:pPr>
        <w:keepNext w:val="0"/>
        <w:keepLines w:val="0"/>
        <w:pageBreakBefore w:val="0"/>
        <w:widowControl/>
        <w:numPr>
          <w:ilvl w:val="0"/>
          <w:numId w:val="6"/>
        </w:numPr>
        <w:tabs>
          <w:tab w:val="left" w:pos="0"/>
        </w:tabs>
        <w:kinsoku/>
        <w:wordWrap/>
        <w:overflowPunct/>
        <w:topLinePunct w:val="0"/>
        <w:autoSpaceDE/>
        <w:autoSpaceDN/>
        <w:bidi w:val="0"/>
        <w:adjustRightInd/>
        <w:snapToGrid/>
        <w:spacing w:line="360" w:lineRule="auto"/>
        <w:ind w:firstLine="480" w:firstLineChars="200"/>
        <w:textAlignment w:val="baseline"/>
        <w:outlineLvl w:val="9"/>
        <w:rPr>
          <w:rFonts w:ascii="宋体" w:hAnsi="宋体" w:cs="宋体"/>
          <w:color w:val="auto"/>
          <w:sz w:val="24"/>
        </w:rPr>
      </w:pPr>
      <w:r>
        <w:rPr>
          <w:rFonts w:hint="eastAsia" w:ascii="宋体" w:hAnsi="宋体" w:cs="宋体"/>
          <w:color w:val="auto"/>
          <w:sz w:val="24"/>
        </w:rPr>
        <w:t>成交结果公告后，成交供应商须按报价须知规定向采购代理交纳代理服务费及专家评审费。</w:t>
      </w:r>
    </w:p>
    <w:p>
      <w:pPr>
        <w:keepNext w:val="0"/>
        <w:keepLines w:val="0"/>
        <w:pageBreakBefore w:val="0"/>
        <w:widowControl/>
        <w:numPr>
          <w:ilvl w:val="0"/>
          <w:numId w:val="6"/>
        </w:numPr>
        <w:tabs>
          <w:tab w:val="left" w:pos="0"/>
        </w:tabs>
        <w:kinsoku/>
        <w:wordWrap/>
        <w:overflowPunct/>
        <w:topLinePunct w:val="0"/>
        <w:autoSpaceDE/>
        <w:autoSpaceDN/>
        <w:bidi w:val="0"/>
        <w:adjustRightInd/>
        <w:snapToGrid/>
        <w:spacing w:line="360" w:lineRule="auto"/>
        <w:ind w:firstLine="480" w:firstLineChars="200"/>
        <w:textAlignment w:val="baseline"/>
        <w:outlineLvl w:val="9"/>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中标通知书》将作为授予合同资格的唯一合法依据。</w:t>
      </w:r>
    </w:p>
    <w:p>
      <w:pPr>
        <w:keepNext w:val="0"/>
        <w:keepLines w:val="0"/>
        <w:pageBreakBefore w:val="0"/>
        <w:widowControl/>
        <w:kinsoku/>
        <w:wordWrap/>
        <w:overflowPunct/>
        <w:topLinePunct w:val="0"/>
        <w:autoSpaceDE/>
        <w:autoSpaceDN/>
        <w:bidi w:val="0"/>
        <w:adjustRightInd/>
        <w:snapToGrid/>
        <w:spacing w:line="360" w:lineRule="auto"/>
        <w:ind w:left="540"/>
        <w:textAlignment w:val="baseline"/>
        <w:outlineLvl w:val="9"/>
        <w:rPr>
          <w:rFonts w:ascii="宋体" w:hAnsi="宋体" w:cs="宋体"/>
          <w:b/>
          <w:color w:val="auto"/>
          <w:sz w:val="24"/>
        </w:rPr>
      </w:pPr>
      <w:bookmarkStart w:id="44" w:name="_Toc176852371"/>
      <w:bookmarkStart w:id="45" w:name="_Toc199817899"/>
      <w:bookmarkStart w:id="46" w:name="_Toc199817949"/>
      <w:bookmarkStart w:id="47" w:name="_Toc409514883"/>
      <w:bookmarkStart w:id="48" w:name="_Toc351989414"/>
      <w:bookmarkStart w:id="49" w:name="_Toc401231881"/>
      <w:bookmarkStart w:id="50" w:name="_Toc409515085"/>
      <w:r>
        <w:rPr>
          <w:rFonts w:hint="eastAsia" w:ascii="宋体" w:hAnsi="宋体" w:cs="宋体"/>
          <w:b/>
          <w:color w:val="auto"/>
          <w:sz w:val="24"/>
        </w:rPr>
        <w:t>七、签订合同</w:t>
      </w:r>
      <w:bookmarkEnd w:id="44"/>
      <w:bookmarkEnd w:id="45"/>
      <w:bookmarkEnd w:id="46"/>
      <w:bookmarkEnd w:id="47"/>
      <w:bookmarkEnd w:id="48"/>
      <w:bookmarkEnd w:id="49"/>
      <w:bookmarkEnd w:id="50"/>
    </w:p>
    <w:p>
      <w:pPr>
        <w:keepNext w:val="0"/>
        <w:keepLines w:val="0"/>
        <w:pageBreakBefore w:val="0"/>
        <w:widowControl/>
        <w:kinsoku/>
        <w:wordWrap/>
        <w:overflowPunct/>
        <w:topLinePunct w:val="0"/>
        <w:autoSpaceDE/>
        <w:autoSpaceDN/>
        <w:bidi w:val="0"/>
        <w:adjustRightInd/>
        <w:snapToGrid/>
        <w:spacing w:line="360" w:lineRule="auto"/>
        <w:ind w:firstLine="475" w:firstLineChars="198"/>
        <w:textAlignment w:val="baseline"/>
        <w:outlineLvl w:val="9"/>
        <w:rPr>
          <w:rFonts w:ascii="宋体" w:hAnsi="宋体" w:cs="宋体"/>
          <w:color w:val="auto"/>
          <w:sz w:val="24"/>
        </w:rPr>
      </w:pPr>
      <w:r>
        <w:rPr>
          <w:rFonts w:hint="eastAsia" w:ascii="宋体" w:hAnsi="宋体" w:cs="宋体"/>
          <w:color w:val="auto"/>
          <w:kern w:val="0"/>
          <w:sz w:val="24"/>
        </w:rPr>
        <w:t>采购人与成交供应商应当在《</w:t>
      </w:r>
      <w:r>
        <w:rPr>
          <w:rFonts w:hint="eastAsia" w:ascii="宋体" w:hAnsi="宋体" w:cs="宋体"/>
          <w:color w:val="auto"/>
          <w:sz w:val="24"/>
        </w:rPr>
        <w:t>中标</w:t>
      </w:r>
      <w:r>
        <w:rPr>
          <w:rFonts w:hint="eastAsia" w:ascii="宋体" w:hAnsi="宋体" w:cs="宋体"/>
          <w:color w:val="auto"/>
          <w:kern w:val="0"/>
          <w:sz w:val="24"/>
        </w:rPr>
        <w:t>通知书》发出之日起三十日内，按照询价文件确定的事项签订政府采购合同，合同条款不得与询价文件和响应文件内容有实质性偏离。</w:t>
      </w:r>
    </w:p>
    <w:p>
      <w:pPr>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A0990"/>
    <w:multiLevelType w:val="singleLevel"/>
    <w:tmpl w:val="83AA0990"/>
    <w:lvl w:ilvl="0" w:tentative="0">
      <w:start w:val="1"/>
      <w:numFmt w:val="decimal"/>
      <w:suff w:val="nothing"/>
      <w:lvlText w:val="%1、"/>
      <w:lvlJc w:val="left"/>
      <w:pPr>
        <w:ind w:left="0" w:firstLine="397"/>
      </w:pPr>
      <w:rPr>
        <w:rFonts w:hint="default"/>
      </w:rPr>
    </w:lvl>
  </w:abstractNum>
  <w:abstractNum w:abstractNumId="1">
    <w:nsid w:val="C5DACD6C"/>
    <w:multiLevelType w:val="singleLevel"/>
    <w:tmpl w:val="C5DACD6C"/>
    <w:lvl w:ilvl="0" w:tentative="0">
      <w:start w:val="1"/>
      <w:numFmt w:val="decimal"/>
      <w:suff w:val="nothing"/>
      <w:lvlText w:val="（%1）"/>
      <w:lvlJc w:val="left"/>
      <w:pPr>
        <w:ind w:left="0" w:firstLine="420"/>
      </w:pPr>
      <w:rPr>
        <w:rFonts w:hint="default"/>
      </w:rPr>
    </w:lvl>
  </w:abstractNum>
  <w:abstractNum w:abstractNumId="2">
    <w:nsid w:val="E62455AD"/>
    <w:multiLevelType w:val="singleLevel"/>
    <w:tmpl w:val="E62455AD"/>
    <w:lvl w:ilvl="0" w:tentative="0">
      <w:start w:val="1"/>
      <w:numFmt w:val="decimal"/>
      <w:suff w:val="nothing"/>
      <w:lvlText w:val="%1、"/>
      <w:lvlJc w:val="left"/>
      <w:pPr>
        <w:ind w:left="0" w:firstLine="403"/>
      </w:pPr>
      <w:rPr>
        <w:rFonts w:hint="default"/>
      </w:rPr>
    </w:lvl>
  </w:abstractNum>
  <w:abstractNum w:abstractNumId="3">
    <w:nsid w:val="0D9325BD"/>
    <w:multiLevelType w:val="singleLevel"/>
    <w:tmpl w:val="0D9325BD"/>
    <w:lvl w:ilvl="0" w:tentative="0">
      <w:start w:val="1"/>
      <w:numFmt w:val="decimal"/>
      <w:suff w:val="nothing"/>
      <w:lvlText w:val="（%1）"/>
      <w:lvlJc w:val="left"/>
      <w:pPr>
        <w:ind w:left="0" w:firstLine="397"/>
      </w:pPr>
      <w:rPr>
        <w:rFonts w:hint="default"/>
      </w:rPr>
    </w:lvl>
  </w:abstractNum>
  <w:abstractNum w:abstractNumId="4">
    <w:nsid w:val="35720B60"/>
    <w:multiLevelType w:val="multilevel"/>
    <w:tmpl w:val="35720B60"/>
    <w:lvl w:ilvl="0" w:tentative="0">
      <w:start w:val="1"/>
      <w:numFmt w:val="decimal"/>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7340D516"/>
    <w:multiLevelType w:val="singleLevel"/>
    <w:tmpl w:val="7340D516"/>
    <w:lvl w:ilvl="0" w:tentative="0">
      <w:start w:val="1"/>
      <w:numFmt w:val="decimal"/>
      <w:suff w:val="nothing"/>
      <w:lvlText w:val="%1、"/>
      <w:lvlJc w:val="left"/>
      <w:pPr>
        <w:ind w:left="0" w:firstLine="397"/>
      </w:pPr>
      <w:rPr>
        <w:rFont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A142B"/>
    <w:rsid w:val="15BC42E0"/>
    <w:rsid w:val="175D53D7"/>
    <w:rsid w:val="32EA142B"/>
    <w:rsid w:val="4BC94447"/>
    <w:rsid w:val="70C8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pacing w:beforeLines="20" w:afterLines="20" w:line="360" w:lineRule="auto"/>
      <w:outlineLvl w:val="1"/>
    </w:pPr>
    <w:rPr>
      <w:rFonts w:ascii="宋体" w:hAnsi="宋体"/>
      <w:b/>
      <w:kern w:val="0"/>
      <w:sz w:val="30"/>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semiHidden/>
    <w:qFormat/>
    <w:uiPriority w:val="0"/>
  </w:style>
  <w:style w:type="paragraph" w:customStyle="1" w:styleId="6">
    <w:name w:val="正文_1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人和镇</Company>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2021-03-01T10:14:00Z</dcterms:created>
  <dc:creator>黄燕霞</dc:creator>
  <cp:lastModifiedBy>20201114</cp:lastModifiedBy>
  <dcterms:modified xsi:type="dcterms:W3CDTF">2021-03-01T12:09:48Z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