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10"/>
        </w:tabs>
        <w:spacing w:before="38"/>
        <w:ind w:right="0"/>
        <w:jc w:val="center"/>
        <w:outlineLvl w:val="0"/>
        <w:rPr>
          <w:rFonts w:hint="eastAsia" w:cs="宋体"/>
          <w:b/>
          <w:color w:val="auto"/>
          <w:sz w:val="36"/>
          <w:szCs w:val="20"/>
          <w:highlight w:val="none"/>
          <w:lang w:val="en-US" w:eastAsia="zh-CN"/>
        </w:rPr>
      </w:pPr>
      <w:r>
        <w:rPr>
          <w:rFonts w:hint="eastAsia" w:cs="宋体"/>
          <w:b/>
          <w:color w:val="auto"/>
          <w:sz w:val="36"/>
          <w:szCs w:val="20"/>
          <w:highlight w:val="none"/>
          <w:lang w:val="en-US" w:eastAsia="zh-CN"/>
        </w:rPr>
        <w:t>采购需求书</w:t>
      </w:r>
    </w:p>
    <w:p>
      <w:pPr>
        <w:widowControl w:val="0"/>
        <w:spacing w:line="360" w:lineRule="auto"/>
        <w:outlineLvl w:val="1"/>
        <w:rPr>
          <w:rFonts w:hint="eastAsia" w:ascii="宋体" w:hAnsi="宋体" w:eastAsia="宋体" w:cs="宋体"/>
          <w:b/>
          <w:color w:val="auto"/>
          <w:sz w:val="24"/>
          <w:szCs w:val="24"/>
        </w:rPr>
      </w:pPr>
      <w:bookmarkStart w:id="0" w:name="_Toc384977577"/>
      <w:bookmarkStart w:id="1" w:name="_Toc37245277"/>
      <w:bookmarkStart w:id="2" w:name="_Toc46308684"/>
      <w:bookmarkStart w:id="3" w:name="_Toc46308528"/>
      <w:bookmarkStart w:id="4" w:name="_Toc37663392"/>
      <w:bookmarkStart w:id="5" w:name="_Toc37331081"/>
      <w:bookmarkStart w:id="6" w:name="_Toc37581421"/>
      <w:bookmarkStart w:id="7" w:name="_Toc37331039"/>
      <w:bookmarkStart w:id="8" w:name="_Toc37569520"/>
      <w:bookmarkStart w:id="9" w:name="_Toc40762371"/>
    </w:p>
    <w:p>
      <w:pPr>
        <w:widowControl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一、项目概况</w:t>
      </w:r>
      <w:bookmarkEnd w:id="0"/>
    </w:p>
    <w:p>
      <w:pPr>
        <w:widowControl w:val="0"/>
        <w:spacing w:line="360" w:lineRule="auto"/>
        <w:ind w:left="568"/>
        <w:jc w:val="both"/>
        <w:rPr>
          <w:rFonts w:hint="eastAsia" w:ascii="宋体" w:hAnsi="宋体" w:eastAsia="宋体" w:cs="宋体"/>
          <w:color w:val="auto"/>
          <w:sz w:val="24"/>
          <w:szCs w:val="24"/>
        </w:rPr>
      </w:pPr>
      <w:r>
        <w:rPr>
          <w:rFonts w:hint="eastAsia" w:ascii="宋体" w:hAnsi="宋体" w:eastAsia="宋体" w:cs="宋体"/>
          <w:color w:val="auto"/>
          <w:sz w:val="24"/>
          <w:szCs w:val="24"/>
        </w:rPr>
        <w:t>（一）本项目确定</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家中标供应商，为采购人提供保安服务。</w:t>
      </w:r>
    </w:p>
    <w:p>
      <w:pPr>
        <w:widowControl w:val="0"/>
        <w:spacing w:line="360" w:lineRule="auto"/>
        <w:ind w:left="568"/>
        <w:jc w:val="both"/>
        <w:rPr>
          <w:rFonts w:hint="eastAsia" w:ascii="宋体" w:hAnsi="宋体" w:eastAsia="宋体" w:cs="宋体"/>
          <w:color w:val="auto"/>
          <w:sz w:val="24"/>
          <w:szCs w:val="24"/>
        </w:rPr>
      </w:pPr>
      <w:r>
        <w:rPr>
          <w:rFonts w:hint="eastAsia" w:ascii="宋体" w:hAnsi="宋体" w:eastAsia="宋体" w:cs="宋体"/>
          <w:color w:val="auto"/>
          <w:sz w:val="24"/>
          <w:szCs w:val="24"/>
        </w:rPr>
        <w:t>（二）本项目属于地区重点保卫项目。</w:t>
      </w:r>
    </w:p>
    <w:p>
      <w:pPr>
        <w:widowControl w:val="0"/>
        <w:spacing w:line="360" w:lineRule="auto"/>
        <w:ind w:firstLine="600" w:firstLineChars="250"/>
        <w:jc w:val="both"/>
        <w:rPr>
          <w:rFonts w:hint="eastAsia" w:ascii="宋体" w:hAnsi="宋体" w:eastAsia="宋体" w:cs="宋体"/>
          <w:color w:val="auto"/>
          <w:sz w:val="24"/>
          <w:szCs w:val="24"/>
        </w:rPr>
      </w:pPr>
      <w:r>
        <w:rPr>
          <w:rFonts w:hint="eastAsia" w:ascii="宋体" w:hAnsi="宋体" w:eastAsia="宋体" w:cs="宋体"/>
          <w:color w:val="auto"/>
          <w:sz w:val="24"/>
          <w:szCs w:val="24"/>
        </w:rPr>
        <w:t>（三）本项目地点地处广州市</w:t>
      </w:r>
      <w:r>
        <w:rPr>
          <w:rFonts w:hint="eastAsia" w:ascii="宋体" w:hAnsi="宋体" w:eastAsia="宋体" w:cs="宋体"/>
          <w:color w:val="auto"/>
          <w:sz w:val="24"/>
          <w:szCs w:val="24"/>
          <w:u w:val="single"/>
        </w:rPr>
        <w:t xml:space="preserve"> 黄埔区夏港街道行政区划内 </w:t>
      </w:r>
      <w:r>
        <w:rPr>
          <w:rFonts w:hint="eastAsia" w:ascii="宋体" w:hAnsi="宋体" w:eastAsia="宋体" w:cs="宋体"/>
          <w:color w:val="auto"/>
          <w:sz w:val="24"/>
          <w:szCs w:val="24"/>
        </w:rPr>
        <w:t>；项目属于疫情防控“双反”（反偷渡、反走私）应急服务项目；服务范围包括</w:t>
      </w:r>
      <w:r>
        <w:rPr>
          <w:rFonts w:hint="eastAsia" w:ascii="宋体" w:hAnsi="宋体" w:eastAsia="宋体" w:cs="宋体"/>
          <w:color w:val="auto"/>
          <w:sz w:val="24"/>
          <w:szCs w:val="24"/>
          <w:u w:val="single"/>
        </w:rPr>
        <w:t xml:space="preserve"> </w:t>
      </w:r>
      <w:bookmarkStart w:id="10" w:name="_Hlk109483836"/>
      <w:r>
        <w:rPr>
          <w:rFonts w:hint="eastAsia" w:ascii="宋体" w:hAnsi="宋体" w:eastAsia="宋体" w:cs="宋体"/>
          <w:bCs/>
          <w:color w:val="auto"/>
          <w:sz w:val="24"/>
          <w:szCs w:val="24"/>
          <w:u w:val="single"/>
        </w:rPr>
        <w:t>沿岸江面堤岸疫情防控工作</w:t>
      </w:r>
      <w:bookmarkEnd w:id="10"/>
      <w:r>
        <w:rPr>
          <w:rFonts w:hint="eastAsia" w:ascii="宋体" w:hAnsi="宋体" w:eastAsia="宋体" w:cs="宋体"/>
          <w:bCs/>
          <w:color w:val="auto"/>
          <w:sz w:val="24"/>
          <w:szCs w:val="24"/>
          <w:u w:val="single"/>
        </w:rPr>
        <w:t>，防止人员偷渡、走私冷冻货物、转运来路不明的冷冻货物</w:t>
      </w:r>
      <w:r>
        <w:rPr>
          <w:rFonts w:hint="eastAsia" w:ascii="宋体" w:hAnsi="宋体" w:eastAsia="宋体" w:cs="宋体"/>
          <w:color w:val="auto"/>
          <w:sz w:val="24"/>
          <w:szCs w:val="24"/>
          <w:u w:val="single"/>
        </w:rPr>
        <w:t>等</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维护</w:t>
      </w:r>
      <w:r>
        <w:rPr>
          <w:rFonts w:hint="eastAsia" w:ascii="宋体" w:hAnsi="宋体" w:eastAsia="宋体" w:cs="宋体"/>
          <w:color w:val="auto"/>
          <w:sz w:val="24"/>
          <w:szCs w:val="24"/>
        </w:rPr>
        <w:t>周边治安状况</w:t>
      </w:r>
      <w:r>
        <w:rPr>
          <w:rFonts w:hint="eastAsia" w:ascii="宋体" w:hAnsi="宋体" w:eastAsia="宋体" w:cs="宋体"/>
          <w:color w:val="auto"/>
          <w:sz w:val="24"/>
          <w:szCs w:val="24"/>
          <w:u w:val="single"/>
        </w:rPr>
        <w:t xml:space="preserve"> 良好</w:t>
      </w:r>
      <w:r>
        <w:rPr>
          <w:rFonts w:hint="eastAsia" w:ascii="宋体" w:hAnsi="宋体" w:eastAsia="宋体" w:cs="宋体"/>
          <w:color w:val="auto"/>
          <w:sz w:val="24"/>
          <w:szCs w:val="24"/>
        </w:rPr>
        <w:t>。</w:t>
      </w:r>
    </w:p>
    <w:p>
      <w:pPr>
        <w:pStyle w:val="7"/>
        <w:keepNext w:val="0"/>
        <w:keepLines w:val="0"/>
        <w:pageBreakBefore w:val="0"/>
        <w:kinsoku/>
        <w:wordWrap/>
        <w:overflowPunct/>
        <w:topLinePunct w:val="0"/>
        <w:bidi w:val="0"/>
        <w:adjustRightInd/>
        <w:snapToGrid w:val="0"/>
        <w:spacing w:line="360" w:lineRule="auto"/>
        <w:ind w:left="0" w:right="26" w:rightChars="12"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（四）服务期限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自合同签订之日起，</w:t>
      </w:r>
      <w:r>
        <w:rPr>
          <w:rFonts w:hint="eastAsia" w:cs="宋体"/>
          <w:color w:val="auto"/>
          <w:sz w:val="24"/>
          <w:szCs w:val="24"/>
          <w:highlight w:val="none"/>
          <w:lang w:val="en-US" w:eastAsia="zh-CN"/>
        </w:rPr>
        <w:t>至合同约定的服务期结束</w:t>
      </w:r>
      <w:r>
        <w:rPr>
          <w:rFonts w:hint="eastAsia" w:ascii="宋体" w:hAnsi="宋体" w:eastAsia="宋体" w:cs="宋体"/>
          <w:color w:val="auto"/>
          <w:sz w:val="24"/>
          <w:szCs w:val="24"/>
          <w:highlight w:val="none"/>
          <w:lang w:val="en-US" w:eastAsia="zh-CN"/>
        </w:rPr>
        <w:t>。</w:t>
      </w:r>
    </w:p>
    <w:p>
      <w:pPr>
        <w:pStyle w:val="7"/>
        <w:keepNext w:val="0"/>
        <w:keepLines w:val="0"/>
        <w:pageBreakBefore w:val="0"/>
        <w:kinsoku/>
        <w:wordWrap/>
        <w:overflowPunct/>
        <w:topLinePunct w:val="0"/>
        <w:bidi w:val="0"/>
        <w:adjustRightInd/>
        <w:snapToGrid w:val="0"/>
        <w:spacing w:line="360" w:lineRule="auto"/>
        <w:ind w:left="0" w:right="26" w:rightChars="12" w:firstLine="480" w:firstLineChars="200"/>
        <w:textAlignment w:val="auto"/>
        <w:rPr>
          <w:rFonts w:hint="eastAsia" w:ascii="宋体" w:hAnsi="宋体" w:eastAsia="宋体" w:cs="宋体"/>
          <w:b/>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五</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政策要求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中标供应商应严格承担用人单位法律责任，按照《中华人民共和国劳动法》的相关规定发放工资，服务人员工资不得低于广州市企业职工最低工资标准（工资不含按国家规定供应商必须支付的社会保险及其他应付费用）；中标供应商应按照《中华人民共和国社会保险法》和《住房公积金管理条例》以及广州市的相关规定，支付国家规定必须购买的社会保险费用和缴存住房公积金。</w:t>
      </w:r>
    </w:p>
    <w:p>
      <w:pPr>
        <w:widowControl w:val="0"/>
        <w:spacing w:line="360" w:lineRule="auto"/>
        <w:ind w:left="540"/>
        <w:outlineLvl w:val="1"/>
        <w:rPr>
          <w:rFonts w:hint="eastAsia" w:ascii="宋体" w:hAnsi="宋体" w:eastAsia="宋体" w:cs="宋体"/>
          <w:b/>
          <w:sz w:val="24"/>
          <w:szCs w:val="24"/>
        </w:rPr>
      </w:pPr>
      <w:bookmarkStart w:id="11" w:name="_Toc388754272"/>
      <w:bookmarkStart w:id="12" w:name="_Toc101951259"/>
      <w:bookmarkStart w:id="13" w:name="_Toc175644390"/>
      <w:r>
        <w:rPr>
          <w:rFonts w:hint="eastAsia" w:ascii="宋体" w:hAnsi="宋体" w:eastAsia="宋体" w:cs="宋体"/>
          <w:b/>
          <w:sz w:val="24"/>
          <w:szCs w:val="24"/>
        </w:rPr>
        <w:t>二、总体要求</w:t>
      </w:r>
      <w:bookmarkEnd w:id="11"/>
      <w:bookmarkEnd w:id="12"/>
      <w:bookmarkEnd w:id="13"/>
    </w:p>
    <w:p>
      <w:pPr>
        <w:widowControl w:val="0"/>
        <w:numPr>
          <w:ilvl w:val="0"/>
          <w:numId w:val="1"/>
        </w:numPr>
        <w:tabs>
          <w:tab w:val="left" w:pos="63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采购人对中标供应商派出的保安员的岗位设置具有决定权，可对供应商的管理工作提供有效的意见和建议。</w:t>
      </w:r>
    </w:p>
    <w:p>
      <w:pPr>
        <w:widowControl w:val="0"/>
        <w:numPr>
          <w:ilvl w:val="0"/>
          <w:numId w:val="1"/>
        </w:numPr>
        <w:tabs>
          <w:tab w:val="left" w:pos="63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采购人按实际需要，要求中标供应商提供具有特殊专长的保安员。</w:t>
      </w:r>
    </w:p>
    <w:p>
      <w:pPr>
        <w:widowControl w:val="0"/>
        <w:numPr>
          <w:ilvl w:val="0"/>
          <w:numId w:val="1"/>
        </w:numPr>
        <w:tabs>
          <w:tab w:val="left" w:pos="63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中标供应商应针对本项目建立保安服务方案，以及组织架构、人员录用等内容的规章制度。</w:t>
      </w:r>
    </w:p>
    <w:p>
      <w:pPr>
        <w:widowControl w:val="0"/>
        <w:numPr>
          <w:ilvl w:val="0"/>
          <w:numId w:val="1"/>
        </w:numPr>
        <w:tabs>
          <w:tab w:val="left" w:pos="63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采购人对重要岗位的设置、人员录用与管理以及重要的管理决策有直接参与权与审批权。</w:t>
      </w:r>
    </w:p>
    <w:p>
      <w:pPr>
        <w:widowControl w:val="0"/>
        <w:numPr>
          <w:ilvl w:val="0"/>
          <w:numId w:val="1"/>
        </w:numPr>
        <w:tabs>
          <w:tab w:val="left" w:pos="63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在处理特殊事件和紧急、突发事故时，采购人对中标供应商派出的保安员有直接指挥权。因采购人指挥失误给中标供应商造成直接经济损失的，由采购人承担相应责任，但中标供应商未依法履行法律责任的除外。</w:t>
      </w:r>
    </w:p>
    <w:p>
      <w:pPr>
        <w:widowControl w:val="0"/>
        <w:numPr>
          <w:ilvl w:val="0"/>
          <w:numId w:val="1"/>
        </w:numPr>
        <w:tabs>
          <w:tab w:val="left" w:pos="63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中标供应商应对中标供应商派出的保安员进行严格审查，保证其均持有省级公安机关颁发的《保安员证》。</w:t>
      </w:r>
    </w:p>
    <w:p>
      <w:pPr>
        <w:widowControl w:val="0"/>
        <w:numPr>
          <w:ilvl w:val="0"/>
          <w:numId w:val="1"/>
        </w:numPr>
        <w:tabs>
          <w:tab w:val="left" w:pos="63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中标供应商必须严格按照国家、广东省、广州市的相关劳动法规和保险条例，为保安员提供完善的劳动权益保障，严格履行用人单位法律责任。</w:t>
      </w:r>
    </w:p>
    <w:p>
      <w:pPr>
        <w:widowControl w:val="0"/>
        <w:numPr>
          <w:ilvl w:val="0"/>
          <w:numId w:val="1"/>
        </w:numPr>
        <w:tabs>
          <w:tab w:val="left" w:pos="63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中标供应商与保安员签订用工合同时，必须采用广东省人力资源和社会保障厅印制的广东省职工劳动合同版本，工作人员须符合广州市政府用工标准要求。</w:t>
      </w:r>
    </w:p>
    <w:p>
      <w:pPr>
        <w:widowControl w:val="0"/>
        <w:numPr>
          <w:ilvl w:val="0"/>
          <w:numId w:val="1"/>
        </w:numPr>
        <w:tabs>
          <w:tab w:val="left" w:pos="630"/>
        </w:tabs>
        <w:spacing w:line="360" w:lineRule="auto"/>
        <w:ind w:left="0" w:firstLine="525"/>
        <w:jc w:val="both"/>
        <w:rPr>
          <w:rFonts w:hint="eastAsia" w:ascii="宋体" w:hAnsi="宋体" w:eastAsia="宋体" w:cs="宋体"/>
          <w:kern w:val="28"/>
          <w:sz w:val="24"/>
          <w:szCs w:val="24"/>
        </w:rPr>
      </w:pPr>
      <w:bookmarkStart w:id="14" w:name="_Toc364168005"/>
      <w:r>
        <w:rPr>
          <w:rFonts w:hint="eastAsia" w:ascii="宋体" w:hAnsi="宋体" w:eastAsia="宋体" w:cs="宋体"/>
          <w:kern w:val="28"/>
          <w:sz w:val="24"/>
          <w:szCs w:val="24"/>
        </w:rPr>
        <w:t>中标供应商在日常管理中要建立交接班、请（休）假等登记等制度，采购人有权查阅记录。</w:t>
      </w:r>
      <w:bookmarkEnd w:id="14"/>
      <w:r>
        <w:rPr>
          <w:rFonts w:hint="eastAsia" w:ascii="宋体" w:hAnsi="宋体" w:eastAsia="宋体" w:cs="宋体"/>
          <w:kern w:val="28"/>
          <w:sz w:val="24"/>
          <w:szCs w:val="24"/>
        </w:rPr>
        <w:t>如因保安员的休请假、撤换或辞退造成保安人数的空缺，中标供应商应在</w:t>
      </w:r>
      <w:r>
        <w:rPr>
          <w:rFonts w:hint="eastAsia" w:ascii="宋体" w:hAnsi="宋体" w:eastAsia="宋体" w:cs="宋体"/>
          <w:sz w:val="24"/>
          <w:szCs w:val="24"/>
          <w:u w:val="single"/>
        </w:rPr>
        <w:t xml:space="preserve">  1 </w:t>
      </w:r>
      <w:r>
        <w:rPr>
          <w:rFonts w:hint="eastAsia" w:ascii="宋体" w:hAnsi="宋体" w:eastAsia="宋体" w:cs="宋体"/>
          <w:sz w:val="24"/>
          <w:szCs w:val="24"/>
        </w:rPr>
        <w:t>日</w:t>
      </w:r>
      <w:r>
        <w:rPr>
          <w:rFonts w:hint="eastAsia" w:ascii="宋体" w:hAnsi="宋体" w:eastAsia="宋体" w:cs="宋体"/>
          <w:kern w:val="28"/>
          <w:sz w:val="24"/>
          <w:szCs w:val="24"/>
        </w:rPr>
        <w:t>内予以补充。</w:t>
      </w:r>
    </w:p>
    <w:p>
      <w:pPr>
        <w:widowControl w:val="0"/>
        <w:numPr>
          <w:ilvl w:val="0"/>
          <w:numId w:val="1"/>
        </w:numPr>
        <w:tabs>
          <w:tab w:val="left" w:pos="63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采购人有权提出更换不符合使用要求或损害采购人利益的保安员。采购人提出更换要求并与中标供应商协商，协商完成后中标供应商应在</w:t>
      </w:r>
      <w:r>
        <w:rPr>
          <w:rFonts w:hint="eastAsia" w:ascii="宋体" w:hAnsi="宋体" w:eastAsia="宋体" w:cs="宋体"/>
          <w:kern w:val="28"/>
          <w:sz w:val="24"/>
          <w:szCs w:val="24"/>
          <w:u w:val="single"/>
        </w:rPr>
        <w:t xml:space="preserve">  3  </w:t>
      </w:r>
      <w:r>
        <w:rPr>
          <w:rFonts w:hint="eastAsia" w:ascii="宋体" w:hAnsi="宋体" w:eastAsia="宋体" w:cs="宋体"/>
          <w:kern w:val="28"/>
          <w:sz w:val="24"/>
          <w:szCs w:val="24"/>
        </w:rPr>
        <w:t>个工作日内予以更换。</w:t>
      </w:r>
      <w:bookmarkStart w:id="15" w:name="_Toc364167993"/>
    </w:p>
    <w:p>
      <w:pPr>
        <w:widowControl w:val="0"/>
        <w:numPr>
          <w:ilvl w:val="0"/>
          <w:numId w:val="1"/>
        </w:numPr>
        <w:tabs>
          <w:tab w:val="left" w:pos="156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中标供应商按承包总额在服务期内负责支付所需的一切费用，采购人不再向中标供应商支付任何费用。中标人应负责工作期间的安全管理和劳动管理，服务期内发生人员伤亡、</w:t>
      </w:r>
      <w:r>
        <w:rPr>
          <w:rFonts w:hint="eastAsia" w:ascii="宋体" w:hAnsi="宋体" w:eastAsia="宋体" w:cs="宋体"/>
          <w:kern w:val="28"/>
          <w:sz w:val="24"/>
          <w:szCs w:val="24"/>
          <w:lang w:val="en-US" w:eastAsia="zh-CN"/>
        </w:rPr>
        <w:t>财产</w:t>
      </w:r>
      <w:r>
        <w:rPr>
          <w:rFonts w:hint="eastAsia" w:ascii="宋体" w:hAnsi="宋体" w:eastAsia="宋体" w:cs="宋体"/>
          <w:kern w:val="28"/>
          <w:sz w:val="24"/>
          <w:szCs w:val="24"/>
        </w:rPr>
        <w:t>损害等安全事故，由中标供应商负责处理与受害者之间的法律关系，与采购人无关。</w:t>
      </w:r>
      <w:r>
        <w:rPr>
          <w:rFonts w:hint="eastAsia" w:ascii="宋体" w:hAnsi="宋体" w:eastAsia="宋体" w:cs="宋体"/>
          <w:kern w:val="28"/>
          <w:sz w:val="24"/>
          <w:szCs w:val="24"/>
          <w:lang w:val="en-US" w:eastAsia="zh-CN"/>
        </w:rPr>
        <w:t>如导致采购人涉诉或造成重大影响的，中标供应商应赔偿采购人为维权及处理事件而支出的各项费用。</w:t>
      </w:r>
    </w:p>
    <w:bookmarkEnd w:id="15"/>
    <w:p>
      <w:pPr>
        <w:widowControl w:val="0"/>
        <w:numPr>
          <w:ilvl w:val="0"/>
          <w:numId w:val="1"/>
        </w:numPr>
        <w:tabs>
          <w:tab w:val="left" w:pos="156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中标供应商应为保安员配备“2011式”保安员服装及统一的保安服务标志，保安器械等装备。</w:t>
      </w:r>
    </w:p>
    <w:p>
      <w:pPr>
        <w:widowControl w:val="0"/>
        <w:numPr>
          <w:ilvl w:val="0"/>
          <w:numId w:val="1"/>
        </w:numPr>
        <w:tabs>
          <w:tab w:val="left" w:pos="156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中标人不得在服务期限内将本项目采取分包或转包等方式转让。</w:t>
      </w:r>
    </w:p>
    <w:p>
      <w:pPr>
        <w:widowControl w:val="0"/>
        <w:numPr>
          <w:ilvl w:val="0"/>
          <w:numId w:val="1"/>
        </w:numPr>
        <w:tabs>
          <w:tab w:val="left" w:pos="1560"/>
        </w:tabs>
        <w:spacing w:line="360" w:lineRule="auto"/>
        <w:ind w:left="0" w:firstLine="525"/>
        <w:jc w:val="both"/>
        <w:rPr>
          <w:rFonts w:hint="eastAsia" w:ascii="宋体" w:hAnsi="宋体" w:eastAsia="宋体" w:cs="宋体"/>
          <w:kern w:val="28"/>
          <w:sz w:val="24"/>
          <w:szCs w:val="24"/>
        </w:rPr>
      </w:pPr>
      <w:r>
        <w:rPr>
          <w:rFonts w:hint="eastAsia" w:ascii="宋体" w:hAnsi="宋体" w:eastAsia="宋体" w:cs="宋体"/>
          <w:kern w:val="28"/>
          <w:sz w:val="24"/>
          <w:szCs w:val="24"/>
          <w:lang w:val="en-US" w:eastAsia="zh-CN"/>
        </w:rPr>
        <w:t>为核实乙方履行用人单位义务，确保乙方提供的服务质量，甲方有权要求乙方提供与参与本项目的 保安人员的劳动合同、工资支付台账、社会保险及住房公积金缴费凭证等材料进行核查。</w:t>
      </w:r>
    </w:p>
    <w:p>
      <w:pPr>
        <w:widowControl w:val="0"/>
        <w:spacing w:line="360" w:lineRule="auto"/>
        <w:ind w:firstLine="480"/>
        <w:jc w:val="both"/>
        <w:rPr>
          <w:rFonts w:hint="eastAsia" w:ascii="宋体" w:hAnsi="宋体" w:eastAsia="宋体" w:cs="宋体"/>
          <w:sz w:val="24"/>
          <w:szCs w:val="24"/>
        </w:rPr>
      </w:pPr>
    </w:p>
    <w:p>
      <w:pPr>
        <w:widowControl w:val="0"/>
        <w:spacing w:line="360" w:lineRule="auto"/>
        <w:ind w:firstLine="482" w:firstLineChars="200"/>
        <w:outlineLvl w:val="1"/>
        <w:rPr>
          <w:rFonts w:hint="eastAsia" w:ascii="宋体" w:hAnsi="宋体" w:eastAsia="宋体" w:cs="宋体"/>
          <w:b/>
          <w:sz w:val="24"/>
          <w:szCs w:val="24"/>
        </w:rPr>
      </w:pPr>
      <w:bookmarkStart w:id="16" w:name="_Toc384977579"/>
      <w:r>
        <w:rPr>
          <w:rFonts w:hint="eastAsia" w:ascii="宋体" w:hAnsi="宋体" w:eastAsia="宋体" w:cs="宋体"/>
          <w:b/>
          <w:sz w:val="24"/>
          <w:szCs w:val="24"/>
        </w:rPr>
        <w:t>三、保安服务内容及要求</w:t>
      </w:r>
      <w:bookmarkEnd w:id="16"/>
    </w:p>
    <w:p>
      <w:pPr>
        <w:widowControl w:val="0"/>
        <w:numPr>
          <w:ilvl w:val="1"/>
          <w:numId w:val="2"/>
        </w:numPr>
        <w:tabs>
          <w:tab w:val="left" w:pos="630"/>
        </w:tabs>
        <w:spacing w:line="360" w:lineRule="auto"/>
        <w:ind w:left="0" w:firstLine="525"/>
        <w:jc w:val="both"/>
        <w:rPr>
          <w:rFonts w:hint="eastAsia" w:ascii="宋体" w:hAnsi="宋体" w:eastAsia="宋体" w:cs="宋体"/>
          <w:b/>
          <w:kern w:val="28"/>
          <w:sz w:val="24"/>
          <w:szCs w:val="24"/>
        </w:rPr>
      </w:pPr>
      <w:bookmarkStart w:id="17" w:name="_Toc364167995"/>
      <w:r>
        <w:rPr>
          <w:rFonts w:hint="eastAsia" w:ascii="宋体" w:hAnsi="宋体" w:eastAsia="宋体" w:cs="宋体"/>
          <w:b/>
          <w:kern w:val="28"/>
          <w:sz w:val="24"/>
          <w:szCs w:val="24"/>
        </w:rPr>
        <w:t>服务内容</w:t>
      </w:r>
    </w:p>
    <w:p>
      <w:pPr>
        <w:widowControl w:val="0"/>
        <w:tabs>
          <w:tab w:val="left" w:pos="630"/>
        </w:tabs>
        <w:spacing w:line="360" w:lineRule="auto"/>
        <w:ind w:firstLine="480" w:firstLineChars="200"/>
        <w:jc w:val="both"/>
        <w:rPr>
          <w:rFonts w:hint="eastAsia" w:ascii="宋体" w:hAnsi="宋体" w:eastAsia="宋体" w:cs="宋体"/>
          <w:kern w:val="28"/>
          <w:sz w:val="24"/>
          <w:szCs w:val="24"/>
        </w:rPr>
      </w:pPr>
      <w:r>
        <w:rPr>
          <w:rFonts w:hint="eastAsia" w:ascii="宋体" w:hAnsi="宋体" w:eastAsia="宋体" w:cs="宋体"/>
          <w:kern w:val="28"/>
          <w:sz w:val="24"/>
          <w:szCs w:val="24"/>
        </w:rPr>
        <w:t>1. 负责协助采购人在夏港街行政区域沿岸江面堤岸疫情防控工作，对人员偷渡和水道船只走私</w:t>
      </w:r>
      <w:r>
        <w:rPr>
          <w:rFonts w:hint="eastAsia" w:ascii="宋体" w:hAnsi="宋体" w:eastAsia="宋体" w:cs="宋体"/>
          <w:bCs/>
          <w:kern w:val="28"/>
          <w:sz w:val="24"/>
          <w:szCs w:val="24"/>
        </w:rPr>
        <w:t>等</w:t>
      </w:r>
      <w:r>
        <w:rPr>
          <w:rFonts w:hint="eastAsia" w:ascii="宋体" w:hAnsi="宋体" w:eastAsia="宋体" w:cs="宋体"/>
          <w:kern w:val="28"/>
          <w:sz w:val="24"/>
          <w:szCs w:val="24"/>
        </w:rPr>
        <w:t>查控。</w:t>
      </w:r>
    </w:p>
    <w:p>
      <w:pPr>
        <w:widowControl w:val="0"/>
        <w:tabs>
          <w:tab w:val="left" w:pos="630"/>
        </w:tabs>
        <w:spacing w:line="360" w:lineRule="auto"/>
        <w:ind w:firstLine="480" w:firstLineChars="200"/>
        <w:jc w:val="both"/>
        <w:rPr>
          <w:rFonts w:hint="eastAsia" w:ascii="宋体" w:hAnsi="宋体" w:eastAsia="宋体" w:cs="宋体"/>
          <w:kern w:val="28"/>
          <w:sz w:val="24"/>
          <w:szCs w:val="24"/>
        </w:rPr>
      </w:pPr>
      <w:r>
        <w:rPr>
          <w:rFonts w:hint="eastAsia" w:ascii="宋体" w:hAnsi="宋体" w:eastAsia="宋体" w:cs="宋体"/>
          <w:kern w:val="28"/>
          <w:sz w:val="24"/>
          <w:szCs w:val="24"/>
        </w:rPr>
        <w:t>2. 维护服务区域内的正常秩序，保障服务区域内人员的人身和财产安全，确保采购人的设施设备及各类财产不受损失，预防各类政治事件、刑事案件、治安事件和火灾事故的发生。</w:t>
      </w:r>
    </w:p>
    <w:p>
      <w:pPr>
        <w:widowControl w:val="0"/>
        <w:tabs>
          <w:tab w:val="left" w:pos="630"/>
        </w:tabs>
        <w:spacing w:line="360" w:lineRule="auto"/>
        <w:ind w:firstLine="480" w:firstLineChars="200"/>
        <w:jc w:val="both"/>
        <w:rPr>
          <w:rFonts w:hint="eastAsia" w:ascii="宋体" w:hAnsi="宋体" w:eastAsia="宋体" w:cs="宋体"/>
          <w:kern w:val="28"/>
          <w:sz w:val="24"/>
          <w:szCs w:val="24"/>
        </w:rPr>
      </w:pPr>
      <w:r>
        <w:rPr>
          <w:rFonts w:hint="eastAsia" w:ascii="宋体" w:hAnsi="宋体" w:eastAsia="宋体" w:cs="宋体"/>
          <w:kern w:val="28"/>
          <w:sz w:val="24"/>
          <w:szCs w:val="24"/>
        </w:rPr>
        <w:t>3. 负责对服务区域进行流动巡查，对一些重点地段应加强巡查保护。</w:t>
      </w:r>
    </w:p>
    <w:p>
      <w:pPr>
        <w:widowControl w:val="0"/>
        <w:tabs>
          <w:tab w:val="left" w:pos="630"/>
        </w:tabs>
        <w:spacing w:line="360" w:lineRule="auto"/>
        <w:ind w:firstLine="480" w:firstLineChars="200"/>
        <w:jc w:val="both"/>
        <w:rPr>
          <w:rFonts w:hint="eastAsia" w:ascii="宋体" w:hAnsi="宋体" w:eastAsia="宋体" w:cs="宋体"/>
          <w:kern w:val="28"/>
          <w:sz w:val="24"/>
          <w:szCs w:val="24"/>
        </w:rPr>
      </w:pPr>
      <w:r>
        <w:rPr>
          <w:rFonts w:hint="eastAsia" w:ascii="宋体" w:hAnsi="宋体" w:eastAsia="宋体" w:cs="宋体"/>
          <w:kern w:val="28"/>
          <w:sz w:val="24"/>
          <w:szCs w:val="24"/>
        </w:rPr>
        <w:t>4. 采购人可根据项目实际对服务内容进行增减及细化。</w:t>
      </w:r>
    </w:p>
    <w:p>
      <w:pPr>
        <w:widowControl w:val="0"/>
        <w:tabs>
          <w:tab w:val="left" w:pos="630"/>
        </w:tabs>
        <w:spacing w:line="360" w:lineRule="auto"/>
        <w:ind w:firstLine="482" w:firstLineChars="200"/>
        <w:jc w:val="both"/>
        <w:rPr>
          <w:rFonts w:hint="eastAsia" w:ascii="宋体" w:hAnsi="宋体" w:eastAsia="宋体" w:cs="宋体"/>
          <w:b/>
          <w:kern w:val="28"/>
          <w:sz w:val="24"/>
          <w:szCs w:val="24"/>
        </w:rPr>
      </w:pPr>
      <w:r>
        <w:rPr>
          <w:rFonts w:hint="eastAsia" w:ascii="宋体" w:hAnsi="宋体" w:eastAsia="宋体" w:cs="宋体"/>
          <w:b/>
          <w:kern w:val="28"/>
          <w:sz w:val="24"/>
          <w:szCs w:val="24"/>
        </w:rPr>
        <w:t>（二）工作要求</w:t>
      </w:r>
    </w:p>
    <w:p>
      <w:pPr>
        <w:widowControl w:val="0"/>
        <w:tabs>
          <w:tab w:val="left" w:pos="630"/>
        </w:tabs>
        <w:spacing w:line="360" w:lineRule="auto"/>
        <w:ind w:firstLine="480" w:firstLineChars="200"/>
        <w:jc w:val="both"/>
        <w:rPr>
          <w:rFonts w:hint="eastAsia" w:ascii="宋体" w:hAnsi="宋体" w:eastAsia="宋体" w:cs="宋体"/>
          <w:kern w:val="28"/>
          <w:sz w:val="24"/>
          <w:szCs w:val="24"/>
        </w:rPr>
      </w:pPr>
      <w:r>
        <w:rPr>
          <w:rFonts w:hint="eastAsia" w:ascii="宋体" w:hAnsi="宋体" w:eastAsia="宋体" w:cs="宋体"/>
          <w:kern w:val="28"/>
          <w:sz w:val="24"/>
          <w:szCs w:val="24"/>
        </w:rPr>
        <w:t>1. 保安员岗位实行24小时轮班制度，供应商可在不违反劳动法相关规定及采购人要求的前提下，灵活进行人员配置。</w:t>
      </w:r>
      <w:bookmarkEnd w:id="17"/>
    </w:p>
    <w:p>
      <w:pPr>
        <w:widowControl w:val="0"/>
        <w:tabs>
          <w:tab w:val="left" w:pos="630"/>
        </w:tabs>
        <w:spacing w:line="360" w:lineRule="auto"/>
        <w:ind w:firstLine="480" w:firstLineChars="200"/>
        <w:jc w:val="both"/>
        <w:rPr>
          <w:rFonts w:hint="eastAsia" w:ascii="宋体" w:hAnsi="宋体" w:eastAsia="宋体" w:cs="宋体"/>
          <w:kern w:val="28"/>
          <w:sz w:val="24"/>
          <w:szCs w:val="24"/>
        </w:rPr>
      </w:pPr>
      <w:bookmarkStart w:id="18" w:name="_Toc364168000"/>
      <w:bookmarkEnd w:id="18"/>
      <w:bookmarkStart w:id="19" w:name="_Toc364167997"/>
      <w:bookmarkEnd w:id="19"/>
      <w:bookmarkStart w:id="20" w:name="_Toc364167998"/>
      <w:bookmarkEnd w:id="20"/>
      <w:bookmarkStart w:id="21" w:name="_Toc364167996"/>
      <w:bookmarkEnd w:id="21"/>
      <w:bookmarkStart w:id="22" w:name="_Toc364167999"/>
      <w:bookmarkEnd w:id="22"/>
      <w:r>
        <w:rPr>
          <w:rFonts w:hint="eastAsia" w:ascii="宋体" w:hAnsi="宋体" w:eastAsia="宋体" w:cs="宋体"/>
          <w:kern w:val="28"/>
          <w:sz w:val="24"/>
          <w:szCs w:val="24"/>
        </w:rPr>
        <w:t>2. 保安员须熟悉服务区域的业务管理知识，中标供应商可提前与采购人协商培训事宜。</w:t>
      </w:r>
    </w:p>
    <w:p>
      <w:pPr>
        <w:widowControl w:val="0"/>
        <w:tabs>
          <w:tab w:val="left" w:pos="630"/>
        </w:tabs>
        <w:spacing w:line="360" w:lineRule="auto"/>
        <w:ind w:firstLine="480" w:firstLineChars="200"/>
        <w:jc w:val="both"/>
        <w:rPr>
          <w:rFonts w:hint="eastAsia" w:ascii="宋体" w:hAnsi="宋体" w:eastAsia="宋体" w:cs="宋体"/>
          <w:kern w:val="28"/>
          <w:sz w:val="24"/>
          <w:szCs w:val="24"/>
        </w:rPr>
      </w:pPr>
      <w:r>
        <w:rPr>
          <w:rFonts w:hint="eastAsia" w:ascii="宋体" w:hAnsi="宋体" w:eastAsia="宋体" w:cs="宋体"/>
          <w:kern w:val="28"/>
          <w:sz w:val="24"/>
          <w:szCs w:val="24"/>
        </w:rPr>
        <w:t>3. 保安员应接受采购人的监督，在采购人的监督下开展安全防范工作和服务场所的日常管理工作。</w:t>
      </w:r>
    </w:p>
    <w:p>
      <w:pPr>
        <w:widowControl w:val="0"/>
        <w:tabs>
          <w:tab w:val="left" w:pos="630"/>
        </w:tabs>
        <w:spacing w:line="360" w:lineRule="auto"/>
        <w:ind w:firstLine="480" w:firstLineChars="200"/>
        <w:jc w:val="both"/>
        <w:rPr>
          <w:rFonts w:hint="eastAsia" w:ascii="宋体" w:hAnsi="宋体" w:eastAsia="宋体" w:cs="宋体"/>
          <w:kern w:val="28"/>
          <w:sz w:val="24"/>
          <w:szCs w:val="24"/>
        </w:rPr>
      </w:pPr>
      <w:r>
        <w:rPr>
          <w:rFonts w:hint="eastAsia" w:ascii="宋体" w:hAnsi="宋体" w:eastAsia="宋体" w:cs="宋体"/>
          <w:kern w:val="28"/>
          <w:sz w:val="24"/>
          <w:szCs w:val="24"/>
        </w:rPr>
        <w:t>4. 中标供应商应指派专职人员进行工作接洽和日常工作管理，并派员对保安员进行经常性的检查督促及教育培训。</w:t>
      </w:r>
    </w:p>
    <w:p>
      <w:pPr>
        <w:widowControl w:val="0"/>
        <w:tabs>
          <w:tab w:val="left" w:pos="630"/>
        </w:tabs>
        <w:spacing w:line="360" w:lineRule="auto"/>
        <w:ind w:firstLine="480" w:firstLineChars="200"/>
        <w:jc w:val="both"/>
        <w:rPr>
          <w:rFonts w:hint="eastAsia" w:ascii="宋体" w:hAnsi="宋体" w:eastAsia="宋体" w:cs="宋体"/>
          <w:kern w:val="28"/>
          <w:sz w:val="24"/>
          <w:szCs w:val="24"/>
        </w:rPr>
      </w:pPr>
      <w:r>
        <w:rPr>
          <w:rFonts w:hint="eastAsia" w:ascii="宋体" w:hAnsi="宋体" w:eastAsia="宋体" w:cs="宋体"/>
          <w:kern w:val="28"/>
          <w:sz w:val="24"/>
          <w:szCs w:val="24"/>
        </w:rPr>
        <w:t>5. 保安员必须遵守采购人的各项规章制度。</w:t>
      </w:r>
    </w:p>
    <w:p>
      <w:pPr>
        <w:widowControl w:val="0"/>
        <w:tabs>
          <w:tab w:val="left" w:pos="630"/>
        </w:tabs>
        <w:spacing w:line="360" w:lineRule="auto"/>
        <w:ind w:firstLine="480" w:firstLineChars="200"/>
        <w:jc w:val="both"/>
        <w:rPr>
          <w:rFonts w:hint="eastAsia" w:ascii="宋体" w:hAnsi="宋体" w:eastAsia="宋体" w:cs="宋体"/>
          <w:kern w:val="28"/>
          <w:sz w:val="24"/>
          <w:szCs w:val="24"/>
        </w:rPr>
      </w:pPr>
      <w:r>
        <w:rPr>
          <w:rFonts w:hint="eastAsia" w:ascii="宋体" w:hAnsi="宋体" w:eastAsia="宋体" w:cs="宋体"/>
          <w:sz w:val="24"/>
          <w:szCs w:val="24"/>
        </w:rPr>
        <w:t xml:space="preserve">6. </w:t>
      </w:r>
      <w:r>
        <w:rPr>
          <w:rFonts w:hint="eastAsia" w:ascii="宋体" w:hAnsi="宋体" w:eastAsia="宋体" w:cs="宋体"/>
          <w:kern w:val="28"/>
          <w:sz w:val="24"/>
          <w:szCs w:val="24"/>
        </w:rPr>
        <w:t>采购人可根据项目实际对相关工作要求进行增减及细化。</w:t>
      </w:r>
    </w:p>
    <w:p>
      <w:pPr>
        <w:widowControl w:val="0"/>
        <w:tabs>
          <w:tab w:val="left" w:pos="630"/>
        </w:tabs>
        <w:spacing w:line="360" w:lineRule="auto"/>
        <w:ind w:left="900"/>
        <w:jc w:val="both"/>
        <w:rPr>
          <w:rFonts w:hint="eastAsia" w:ascii="宋体" w:hAnsi="宋体" w:eastAsia="宋体" w:cs="宋体"/>
          <w:sz w:val="24"/>
          <w:szCs w:val="24"/>
        </w:rPr>
      </w:pPr>
    </w:p>
    <w:p>
      <w:pPr>
        <w:widowControl w:val="0"/>
        <w:spacing w:line="360" w:lineRule="auto"/>
        <w:ind w:left="568"/>
        <w:outlineLvl w:val="1"/>
        <w:rPr>
          <w:rFonts w:hint="eastAsia" w:ascii="宋体" w:hAnsi="宋体" w:eastAsia="宋体" w:cs="宋体"/>
          <w:b/>
          <w:sz w:val="24"/>
          <w:szCs w:val="24"/>
        </w:rPr>
      </w:pPr>
      <w:bookmarkStart w:id="23" w:name="_Toc384977580"/>
      <w:r>
        <w:rPr>
          <w:rFonts w:hint="eastAsia" w:ascii="宋体" w:hAnsi="宋体" w:eastAsia="宋体" w:cs="宋体"/>
          <w:b/>
          <w:sz w:val="24"/>
          <w:szCs w:val="24"/>
        </w:rPr>
        <w:t>四、人员</w:t>
      </w:r>
      <w:bookmarkEnd w:id="23"/>
      <w:r>
        <w:rPr>
          <w:rFonts w:hint="eastAsia" w:ascii="宋体" w:hAnsi="宋体" w:eastAsia="宋体" w:cs="宋体"/>
          <w:b/>
          <w:sz w:val="24"/>
          <w:szCs w:val="24"/>
        </w:rPr>
        <w:t>配置</w:t>
      </w:r>
    </w:p>
    <w:p>
      <w:pPr>
        <w:widowControl w:val="0"/>
        <w:tabs>
          <w:tab w:val="left" w:pos="630"/>
        </w:tabs>
        <w:spacing w:line="360" w:lineRule="auto"/>
        <w:ind w:left="315" w:firstLine="120" w:firstLineChars="50"/>
        <w:jc w:val="both"/>
        <w:rPr>
          <w:rFonts w:hint="eastAsia" w:ascii="宋体" w:hAnsi="宋体" w:eastAsia="宋体" w:cs="宋体"/>
          <w:kern w:val="28"/>
          <w:sz w:val="24"/>
          <w:szCs w:val="24"/>
        </w:rPr>
      </w:pPr>
      <w:bookmarkStart w:id="24" w:name="_Toc364167985"/>
      <w:r>
        <w:rPr>
          <w:rFonts w:hint="eastAsia" w:ascii="宋体" w:hAnsi="宋体" w:eastAsia="宋体" w:cs="宋体"/>
          <w:b/>
          <w:kern w:val="28"/>
          <w:sz w:val="24"/>
          <w:szCs w:val="24"/>
        </w:rPr>
        <w:t>（一）本项目设置</w:t>
      </w:r>
      <w:r>
        <w:rPr>
          <w:rFonts w:hint="eastAsia" w:ascii="宋体" w:hAnsi="宋体" w:eastAsia="宋体" w:cs="宋体"/>
          <w:b/>
          <w:kern w:val="28"/>
          <w:sz w:val="24"/>
          <w:szCs w:val="24"/>
          <w:lang w:val="en-US" w:eastAsia="zh-CN"/>
        </w:rPr>
        <w:t>9</w:t>
      </w:r>
      <w:r>
        <w:rPr>
          <w:rFonts w:hint="eastAsia" w:ascii="宋体" w:hAnsi="宋体" w:eastAsia="宋体" w:cs="宋体"/>
          <w:b/>
          <w:kern w:val="28"/>
          <w:sz w:val="24"/>
          <w:szCs w:val="24"/>
        </w:rPr>
        <w:t>个岗位</w:t>
      </w:r>
      <w:r>
        <w:rPr>
          <w:rFonts w:hint="eastAsia" w:ascii="宋体" w:hAnsi="宋体" w:eastAsia="宋体" w:cs="宋体"/>
          <w:kern w:val="28"/>
          <w:sz w:val="24"/>
          <w:szCs w:val="24"/>
        </w:rPr>
        <w:t>（每个岗位双岗执勤</w:t>
      </w:r>
      <w:r>
        <w:rPr>
          <w:rFonts w:hint="eastAsia" w:ascii="宋体" w:hAnsi="宋体" w:eastAsia="宋体" w:cs="宋体"/>
          <w:kern w:val="28"/>
          <w:sz w:val="24"/>
          <w:szCs w:val="24"/>
          <w:lang w:eastAsia="zh-CN"/>
        </w:rPr>
        <w:t>，24小时值守</w:t>
      </w:r>
      <w:r>
        <w:rPr>
          <w:rFonts w:hint="eastAsia" w:ascii="宋体" w:hAnsi="宋体" w:eastAsia="宋体" w:cs="宋体"/>
          <w:kern w:val="28"/>
          <w:sz w:val="24"/>
          <w:szCs w:val="24"/>
        </w:rPr>
        <w:t>）。</w:t>
      </w:r>
    </w:p>
    <w:p>
      <w:pPr>
        <w:widowControl w:val="0"/>
        <w:tabs>
          <w:tab w:val="left" w:pos="630"/>
        </w:tabs>
        <w:spacing w:line="360" w:lineRule="auto"/>
        <w:rPr>
          <w:rFonts w:hint="eastAsia" w:ascii="宋体" w:hAnsi="宋体" w:eastAsia="宋体" w:cs="宋体"/>
          <w:b/>
          <w:kern w:val="28"/>
          <w:sz w:val="24"/>
          <w:szCs w:val="24"/>
        </w:rPr>
      </w:pPr>
      <w:r>
        <w:rPr>
          <w:rFonts w:hint="eastAsia" w:ascii="宋体" w:hAnsi="宋体" w:eastAsia="宋体" w:cs="宋体"/>
          <w:kern w:val="28"/>
          <w:sz w:val="24"/>
          <w:szCs w:val="24"/>
        </w:rPr>
        <w:t xml:space="preserve">    </w:t>
      </w:r>
      <w:r>
        <w:rPr>
          <w:rFonts w:hint="eastAsia" w:ascii="宋体" w:hAnsi="宋体" w:eastAsia="宋体" w:cs="宋体"/>
          <w:b/>
          <w:kern w:val="28"/>
          <w:sz w:val="24"/>
          <w:szCs w:val="24"/>
        </w:rPr>
        <w:t>（二）人员素质要求</w:t>
      </w:r>
    </w:p>
    <w:bookmarkEnd w:id="24"/>
    <w:p>
      <w:pPr>
        <w:widowControl w:val="0"/>
        <w:numPr>
          <w:ilvl w:val="0"/>
          <w:numId w:val="3"/>
        </w:numPr>
        <w:tabs>
          <w:tab w:val="left" w:pos="0"/>
          <w:tab w:val="clear" w:pos="1155"/>
        </w:tabs>
        <w:spacing w:line="360" w:lineRule="auto"/>
        <w:ind w:left="-85"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经公安机关批准设立的培训机构培训合格，并取得省级公安机关颁发的《保安员证》。</w:t>
      </w:r>
    </w:p>
    <w:p>
      <w:pPr>
        <w:widowControl w:val="0"/>
        <w:numPr>
          <w:ilvl w:val="0"/>
          <w:numId w:val="3"/>
        </w:numPr>
        <w:tabs>
          <w:tab w:val="left" w:pos="0"/>
          <w:tab w:val="clear" w:pos="1155"/>
        </w:tabs>
        <w:spacing w:line="360" w:lineRule="auto"/>
        <w:ind w:left="-85"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年满18周岁以上，</w:t>
      </w:r>
      <w:r>
        <w:rPr>
          <w:rFonts w:hint="eastAsia" w:ascii="宋体" w:hAnsi="宋体" w:eastAsia="宋体" w:cs="宋体"/>
          <w:kern w:val="28"/>
          <w:sz w:val="24"/>
          <w:szCs w:val="24"/>
          <w:u w:val="none"/>
        </w:rPr>
        <w:t xml:space="preserve"> 50</w:t>
      </w:r>
      <w:r>
        <w:rPr>
          <w:rFonts w:hint="eastAsia" w:ascii="宋体" w:hAnsi="宋体" w:eastAsia="宋体" w:cs="宋体"/>
          <w:kern w:val="28"/>
          <w:sz w:val="24"/>
          <w:szCs w:val="24"/>
        </w:rPr>
        <w:t>周岁以下的中国公民，身体健康、责任心强，熟悉江面堤岸警情和识别走私偷渡行为的查控识别。</w:t>
      </w:r>
    </w:p>
    <w:p>
      <w:pPr>
        <w:widowControl w:val="0"/>
        <w:numPr>
          <w:ilvl w:val="0"/>
          <w:numId w:val="3"/>
        </w:numPr>
        <w:tabs>
          <w:tab w:val="left" w:pos="0"/>
          <w:tab w:val="clear" w:pos="1155"/>
        </w:tabs>
        <w:spacing w:line="360" w:lineRule="auto"/>
        <w:ind w:left="-85"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中标供应商服务人员应当具备所需的专业知识和有关业务工作经验，无被刑事处罚、劳动教养、收容教育、强制隔离戒毒或者被开除公职、开除军籍等不良记录。</w:t>
      </w:r>
    </w:p>
    <w:p>
      <w:pPr>
        <w:widowControl w:val="0"/>
        <w:numPr>
          <w:ilvl w:val="0"/>
          <w:numId w:val="3"/>
        </w:numPr>
        <w:tabs>
          <w:tab w:val="left" w:pos="0"/>
          <w:tab w:val="clear" w:pos="1155"/>
        </w:tabs>
        <w:spacing w:line="360" w:lineRule="auto"/>
        <w:ind w:left="-85"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项目负责人需有相关安保服务管理工作经验，有较强的组织能力、协调沟通能力，具有大专或以上学历、保安员二级/技师（原保安师）或以上职业资格证书（技能等级证书、退伍证人员优先考虑。</w:t>
      </w:r>
    </w:p>
    <w:p>
      <w:pPr>
        <w:widowControl w:val="0"/>
        <w:numPr>
          <w:ilvl w:val="0"/>
          <w:numId w:val="3"/>
        </w:numPr>
        <w:tabs>
          <w:tab w:val="left" w:pos="0"/>
          <w:tab w:val="clear" w:pos="1155"/>
        </w:tabs>
        <w:spacing w:line="360" w:lineRule="auto"/>
        <w:ind w:left="-85" w:firstLine="525"/>
        <w:jc w:val="both"/>
        <w:rPr>
          <w:rFonts w:hint="eastAsia" w:ascii="宋体" w:hAnsi="宋体" w:eastAsia="宋体" w:cs="宋体"/>
          <w:kern w:val="28"/>
          <w:sz w:val="24"/>
          <w:szCs w:val="24"/>
        </w:rPr>
      </w:pPr>
      <w:r>
        <w:rPr>
          <w:rFonts w:hint="eastAsia" w:ascii="宋体" w:hAnsi="宋体" w:eastAsia="宋体" w:cs="宋体"/>
          <w:kern w:val="28"/>
          <w:sz w:val="24"/>
          <w:szCs w:val="24"/>
        </w:rPr>
        <w:t>可根据项目实际需求，增加具体要求。</w:t>
      </w:r>
    </w:p>
    <w:p>
      <w:pPr>
        <w:widowControl w:val="0"/>
        <w:spacing w:line="360" w:lineRule="auto"/>
        <w:ind w:firstLine="480"/>
        <w:jc w:val="both"/>
        <w:rPr>
          <w:rFonts w:hint="eastAsia" w:ascii="宋体" w:hAnsi="宋体" w:eastAsia="宋体" w:cs="宋体"/>
          <w:b/>
          <w:sz w:val="24"/>
          <w:szCs w:val="24"/>
        </w:rPr>
      </w:pPr>
      <w:r>
        <w:rPr>
          <w:rFonts w:hint="eastAsia" w:ascii="宋体" w:hAnsi="宋体" w:eastAsia="宋体" w:cs="宋体"/>
          <w:b/>
          <w:sz w:val="24"/>
          <w:szCs w:val="24"/>
        </w:rPr>
        <w:t>（三） 人员管理要求</w:t>
      </w:r>
    </w:p>
    <w:p>
      <w:pPr>
        <w:widowControl w:val="0"/>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1.采购人与派驻保安服务人员不发生任何劳动和雇佣关系，派驻提供服务的人员由中标供应商按照劳动法律规定管理。</w:t>
      </w:r>
    </w:p>
    <w:p>
      <w:pPr>
        <w:widowControl w:val="0"/>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2.中标供应商就本项目所派驻的全部保安服务人员应专职服务本项目，如遇特殊情况需临时调整，须报请采购人同意，并保证本项目正常运行。</w:t>
      </w:r>
    </w:p>
    <w:p>
      <w:pPr>
        <w:widowControl w:val="0"/>
        <w:spacing w:line="360" w:lineRule="auto"/>
        <w:ind w:firstLine="480"/>
        <w:jc w:val="both"/>
        <w:rPr>
          <w:rFonts w:hint="eastAsia" w:ascii="宋体" w:hAnsi="宋体" w:eastAsia="宋体" w:cs="宋体"/>
          <w:sz w:val="24"/>
          <w:szCs w:val="24"/>
        </w:rPr>
      </w:pPr>
      <w:bookmarkStart w:id="25" w:name="_Toc384977582"/>
      <w:bookmarkStart w:id="26" w:name="_Toc175644393"/>
      <w:bookmarkStart w:id="27" w:name="_Toc388754275"/>
      <w:bookmarkStart w:id="28" w:name="_Toc101951262"/>
      <w:r>
        <w:rPr>
          <w:rFonts w:hint="eastAsia" w:ascii="宋体" w:hAnsi="宋体" w:eastAsia="宋体" w:cs="宋体"/>
          <w:sz w:val="24"/>
          <w:szCs w:val="24"/>
        </w:rPr>
        <w:t>3.中标供应商应当根据服务岗位需要定期对保安员进行法律、保安专业知识和技能培训。保安服务具体操作规程及质量服务应达到公安部颁发的《保安服务操作规程与质量控制》的要求。</w:t>
      </w:r>
    </w:p>
    <w:p>
      <w:pPr>
        <w:rPr>
          <w:rFonts w:hint="eastAsia" w:ascii="宋体" w:hAnsi="宋体" w:eastAsia="宋体" w:cs="宋体"/>
          <w:sz w:val="24"/>
          <w:szCs w:val="24"/>
        </w:rPr>
      </w:pPr>
    </w:p>
    <w:p>
      <w:pPr>
        <w:widowControl w:val="0"/>
        <w:spacing w:line="360" w:lineRule="auto"/>
        <w:ind w:left="568"/>
        <w:outlineLvl w:val="1"/>
        <w:rPr>
          <w:rFonts w:hint="eastAsia" w:ascii="宋体" w:hAnsi="宋体" w:eastAsia="宋体" w:cs="宋体"/>
          <w:b/>
          <w:sz w:val="24"/>
          <w:szCs w:val="24"/>
        </w:rPr>
      </w:pPr>
      <w:r>
        <w:rPr>
          <w:rFonts w:hint="eastAsia" w:ascii="宋体" w:hAnsi="宋体" w:eastAsia="宋体" w:cs="宋体"/>
          <w:b/>
          <w:sz w:val="24"/>
          <w:szCs w:val="24"/>
        </w:rPr>
        <w:t>五、本项目奖罚管理</w:t>
      </w:r>
    </w:p>
    <w:p>
      <w:pPr>
        <w:numPr>
          <w:ilvl w:val="0"/>
          <w:numId w:val="4"/>
        </w:numPr>
        <w:spacing w:line="360" w:lineRule="auto"/>
        <w:rPr>
          <w:rFonts w:hint="eastAsia" w:ascii="宋体" w:hAnsi="宋体" w:eastAsia="宋体" w:cs="宋体"/>
          <w:b/>
          <w:sz w:val="24"/>
          <w:szCs w:val="24"/>
        </w:rPr>
      </w:pPr>
      <w:r>
        <w:rPr>
          <w:rFonts w:hint="eastAsia" w:ascii="宋体" w:hAnsi="宋体" w:eastAsia="宋体" w:cs="宋体"/>
          <w:b/>
          <w:sz w:val="24"/>
          <w:szCs w:val="24"/>
        </w:rPr>
        <w:t>奖励管理</w:t>
      </w:r>
    </w:p>
    <w:p>
      <w:pPr>
        <w:numPr>
          <w:ilvl w:val="0"/>
          <w:numId w:val="5"/>
        </w:numPr>
        <w:spacing w:line="360" w:lineRule="auto"/>
        <w:rPr>
          <w:rFonts w:hint="eastAsia" w:ascii="宋体" w:hAnsi="宋体" w:eastAsia="宋体" w:cs="宋体"/>
          <w:sz w:val="24"/>
          <w:szCs w:val="24"/>
        </w:rPr>
      </w:pPr>
      <w:bookmarkStart w:id="29" w:name="_Hlk109471058"/>
      <w:r>
        <w:rPr>
          <w:rFonts w:hint="eastAsia" w:ascii="宋体" w:hAnsi="宋体" w:eastAsia="宋体" w:cs="宋体"/>
          <w:sz w:val="24"/>
          <w:szCs w:val="24"/>
        </w:rPr>
        <w:t>发现偷渡人员和走私船只</w:t>
      </w:r>
      <w:bookmarkEnd w:id="29"/>
      <w:r>
        <w:rPr>
          <w:rFonts w:hint="eastAsia" w:ascii="宋体" w:hAnsi="宋体" w:eastAsia="宋体" w:cs="宋体"/>
          <w:sz w:val="24"/>
          <w:szCs w:val="24"/>
        </w:rPr>
        <w:t>及时上报，奖励50元。</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发现及时制止人员偷渡和</w:t>
      </w:r>
      <w:bookmarkStart w:id="30" w:name="_Hlk109471269"/>
      <w:r>
        <w:rPr>
          <w:rFonts w:hint="eastAsia" w:ascii="宋体" w:hAnsi="宋体" w:eastAsia="宋体" w:cs="宋体"/>
          <w:sz w:val="24"/>
          <w:szCs w:val="24"/>
        </w:rPr>
        <w:t>走私船只</w:t>
      </w:r>
      <w:bookmarkEnd w:id="30"/>
      <w:r>
        <w:rPr>
          <w:rFonts w:hint="eastAsia" w:ascii="宋体" w:hAnsi="宋体" w:eastAsia="宋体" w:cs="宋体"/>
          <w:sz w:val="24"/>
          <w:szCs w:val="24"/>
        </w:rPr>
        <w:t>走私，奖励150元。</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发现及时制止和收缴走私船只，奖励300元。</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奖励情况及时上报，由甲方以月为单位，申请奖励金。</w:t>
      </w:r>
    </w:p>
    <w:p>
      <w:pPr>
        <w:numPr>
          <w:ilvl w:val="0"/>
          <w:numId w:val="4"/>
        </w:numPr>
        <w:spacing w:line="360" w:lineRule="auto"/>
        <w:rPr>
          <w:rFonts w:hint="eastAsia" w:ascii="宋体" w:hAnsi="宋体" w:eastAsia="宋体" w:cs="宋体"/>
          <w:b/>
          <w:sz w:val="24"/>
          <w:szCs w:val="24"/>
        </w:rPr>
      </w:pPr>
      <w:r>
        <w:rPr>
          <w:rFonts w:hint="eastAsia" w:ascii="宋体" w:hAnsi="宋体" w:eastAsia="宋体" w:cs="宋体"/>
          <w:b/>
          <w:sz w:val="24"/>
          <w:szCs w:val="24"/>
        </w:rPr>
        <w:t>处</w:t>
      </w:r>
      <w:bookmarkStart w:id="31" w:name="_Hlk109484147"/>
      <w:r>
        <w:rPr>
          <w:rFonts w:hint="eastAsia" w:ascii="宋体" w:hAnsi="宋体" w:eastAsia="宋体" w:cs="宋体"/>
          <w:b/>
          <w:sz w:val="24"/>
          <w:szCs w:val="24"/>
        </w:rPr>
        <w:t>罚</w:t>
      </w:r>
      <w:bookmarkEnd w:id="31"/>
      <w:r>
        <w:rPr>
          <w:rFonts w:hint="eastAsia" w:ascii="宋体" w:hAnsi="宋体" w:eastAsia="宋体" w:cs="宋体"/>
          <w:b/>
          <w:sz w:val="24"/>
          <w:szCs w:val="24"/>
        </w:rPr>
        <w:t>管理</w:t>
      </w:r>
    </w:p>
    <w:p>
      <w:pPr>
        <w:numPr>
          <w:ilvl w:val="0"/>
          <w:numId w:val="6"/>
        </w:numPr>
        <w:spacing w:line="360" w:lineRule="auto"/>
        <w:ind w:left="220" w:leftChars="100" w:firstLine="218" w:firstLineChars="91"/>
        <w:rPr>
          <w:rFonts w:hint="eastAsia" w:ascii="宋体" w:hAnsi="宋体" w:eastAsia="宋体" w:cs="宋体"/>
          <w:sz w:val="24"/>
          <w:szCs w:val="24"/>
        </w:rPr>
      </w:pPr>
      <w:r>
        <w:rPr>
          <w:rFonts w:hint="eastAsia" w:ascii="宋体" w:hAnsi="宋体" w:eastAsia="宋体" w:cs="宋体"/>
          <w:sz w:val="24"/>
          <w:szCs w:val="24"/>
        </w:rPr>
        <w:t>执勤过程中着装不整，扣0.5分。</w:t>
      </w:r>
    </w:p>
    <w:p>
      <w:pPr>
        <w:numPr>
          <w:ilvl w:val="0"/>
          <w:numId w:val="6"/>
        </w:numPr>
        <w:spacing w:line="360" w:lineRule="auto"/>
        <w:ind w:left="220" w:leftChars="100" w:firstLine="218" w:firstLineChars="91"/>
        <w:rPr>
          <w:rFonts w:hint="eastAsia" w:ascii="宋体" w:hAnsi="宋体" w:eastAsia="宋体" w:cs="宋体"/>
          <w:sz w:val="24"/>
          <w:szCs w:val="24"/>
        </w:rPr>
      </w:pPr>
      <w:r>
        <w:rPr>
          <w:rFonts w:hint="eastAsia" w:ascii="宋体" w:hAnsi="宋体" w:eastAsia="宋体" w:cs="宋体"/>
          <w:sz w:val="24"/>
          <w:szCs w:val="24"/>
        </w:rPr>
        <w:t>执勤过程中仪容不整、姿态不端，扣0.5分。</w:t>
      </w:r>
    </w:p>
    <w:p>
      <w:pPr>
        <w:numPr>
          <w:ilvl w:val="0"/>
          <w:numId w:val="6"/>
        </w:numPr>
        <w:spacing w:line="360" w:lineRule="auto"/>
        <w:ind w:left="220" w:leftChars="100" w:firstLine="218" w:firstLineChars="91"/>
        <w:rPr>
          <w:rFonts w:hint="eastAsia" w:ascii="宋体" w:hAnsi="宋体" w:eastAsia="宋体" w:cs="宋体"/>
          <w:sz w:val="24"/>
          <w:szCs w:val="24"/>
        </w:rPr>
      </w:pPr>
      <w:r>
        <w:rPr>
          <w:rFonts w:hint="eastAsia" w:ascii="宋体" w:hAnsi="宋体" w:eastAsia="宋体" w:cs="宋体"/>
          <w:sz w:val="24"/>
          <w:szCs w:val="24"/>
        </w:rPr>
        <w:t>执勤过程中没有做到文明礼貌的，扣0.5分。</w:t>
      </w:r>
    </w:p>
    <w:p>
      <w:pPr>
        <w:numPr>
          <w:ilvl w:val="0"/>
          <w:numId w:val="6"/>
        </w:numPr>
        <w:spacing w:line="360" w:lineRule="auto"/>
        <w:ind w:left="220" w:leftChars="100" w:firstLine="218" w:firstLineChars="91"/>
        <w:rPr>
          <w:rFonts w:hint="eastAsia" w:ascii="宋体" w:hAnsi="宋体" w:eastAsia="宋体" w:cs="宋体"/>
          <w:sz w:val="24"/>
          <w:szCs w:val="24"/>
        </w:rPr>
      </w:pPr>
      <w:r>
        <w:rPr>
          <w:rFonts w:hint="eastAsia" w:ascii="宋体" w:hAnsi="宋体" w:eastAsia="宋体" w:cs="宋体"/>
          <w:sz w:val="24"/>
          <w:szCs w:val="24"/>
        </w:rPr>
        <w:t>违反采购人规章制度的，扣0.5－1分。</w:t>
      </w:r>
    </w:p>
    <w:p>
      <w:pPr>
        <w:numPr>
          <w:ilvl w:val="0"/>
          <w:numId w:val="6"/>
        </w:numPr>
        <w:spacing w:line="360" w:lineRule="auto"/>
        <w:ind w:left="220" w:leftChars="100" w:firstLine="218" w:firstLineChars="91"/>
        <w:rPr>
          <w:rFonts w:hint="eastAsia" w:ascii="宋体" w:hAnsi="宋体" w:eastAsia="宋体" w:cs="宋体"/>
          <w:sz w:val="24"/>
          <w:szCs w:val="24"/>
        </w:rPr>
      </w:pPr>
      <w:r>
        <w:rPr>
          <w:rFonts w:hint="eastAsia" w:ascii="宋体" w:hAnsi="宋体" w:eastAsia="宋体" w:cs="宋体"/>
          <w:sz w:val="24"/>
          <w:szCs w:val="24"/>
        </w:rPr>
        <w:t>执勤过程中工作不作为，扣1分。</w:t>
      </w:r>
    </w:p>
    <w:p>
      <w:pPr>
        <w:numPr>
          <w:ilvl w:val="0"/>
          <w:numId w:val="6"/>
        </w:numPr>
        <w:spacing w:line="360" w:lineRule="auto"/>
        <w:ind w:left="220" w:leftChars="100" w:firstLine="218" w:firstLineChars="91"/>
        <w:rPr>
          <w:rFonts w:hint="eastAsia" w:ascii="宋体" w:hAnsi="宋体" w:eastAsia="宋体" w:cs="宋体"/>
          <w:sz w:val="24"/>
          <w:szCs w:val="24"/>
        </w:rPr>
      </w:pPr>
      <w:r>
        <w:rPr>
          <w:rFonts w:hint="eastAsia" w:ascii="宋体" w:hAnsi="宋体" w:eastAsia="宋体" w:cs="宋体"/>
          <w:sz w:val="24"/>
          <w:szCs w:val="24"/>
        </w:rPr>
        <w:t>执勤过程中不听从采购人现场负责人指挥，扣1分。</w:t>
      </w:r>
    </w:p>
    <w:p>
      <w:pPr>
        <w:numPr>
          <w:ilvl w:val="0"/>
          <w:numId w:val="6"/>
        </w:numPr>
        <w:tabs>
          <w:tab w:val="left" w:pos="220"/>
          <w:tab w:val="clear" w:pos="420"/>
        </w:tabs>
        <w:spacing w:line="360" w:lineRule="auto"/>
        <w:ind w:left="220" w:leftChars="100" w:firstLine="218" w:firstLineChars="91"/>
        <w:rPr>
          <w:rFonts w:hint="eastAsia" w:ascii="宋体" w:hAnsi="宋体" w:eastAsia="宋体" w:cs="宋体"/>
          <w:sz w:val="24"/>
          <w:szCs w:val="24"/>
        </w:rPr>
      </w:pPr>
      <w:r>
        <w:rPr>
          <w:rFonts w:hint="eastAsia" w:ascii="宋体" w:hAnsi="宋体" w:eastAsia="宋体" w:cs="宋体"/>
          <w:sz w:val="24"/>
          <w:szCs w:val="24"/>
        </w:rPr>
        <w:t>在市、区、街的“双反”核查中，发现缺岗、漏岗、脱岗现象一次一人扣2分。</w:t>
      </w:r>
    </w:p>
    <w:p>
      <w:pPr>
        <w:numPr>
          <w:ilvl w:val="0"/>
          <w:numId w:val="6"/>
        </w:numPr>
        <w:spacing w:line="360" w:lineRule="auto"/>
        <w:ind w:left="220" w:leftChars="100" w:firstLine="218" w:firstLineChars="91"/>
        <w:rPr>
          <w:rFonts w:hint="eastAsia" w:ascii="宋体" w:hAnsi="宋体" w:eastAsia="宋体" w:cs="宋体"/>
          <w:sz w:val="24"/>
          <w:szCs w:val="24"/>
        </w:rPr>
      </w:pPr>
      <w:r>
        <w:rPr>
          <w:rFonts w:hint="eastAsia" w:ascii="宋体" w:hAnsi="宋体" w:eastAsia="宋体" w:cs="宋体"/>
          <w:sz w:val="24"/>
          <w:szCs w:val="24"/>
        </w:rPr>
        <w:t>每个岗位每月10分基础分。扣至8分以下，甲方可要求更换岗位人员。</w:t>
      </w:r>
    </w:p>
    <w:p>
      <w:pPr>
        <w:numPr>
          <w:ilvl w:val="0"/>
          <w:numId w:val="6"/>
        </w:numPr>
        <w:spacing w:line="360" w:lineRule="auto"/>
        <w:ind w:left="220" w:leftChars="100" w:firstLine="218" w:firstLineChars="91"/>
        <w:rPr>
          <w:rFonts w:hint="eastAsia" w:ascii="宋体" w:hAnsi="宋体" w:eastAsia="宋体" w:cs="宋体"/>
          <w:sz w:val="24"/>
          <w:szCs w:val="24"/>
        </w:rPr>
      </w:pPr>
      <w:r>
        <w:rPr>
          <w:rFonts w:hint="eastAsia" w:ascii="宋体" w:hAnsi="宋体" w:eastAsia="宋体" w:cs="宋体"/>
          <w:sz w:val="24"/>
          <w:szCs w:val="24"/>
        </w:rPr>
        <w:t>一个月内，所有扣分超过10分，甲方可要求以乙方服务不达标造成违约，中止项目合作。</w:t>
      </w:r>
    </w:p>
    <w:p>
      <w:pPr>
        <w:spacing w:line="360" w:lineRule="auto"/>
        <w:rPr>
          <w:rFonts w:hint="eastAsia" w:ascii="宋体" w:hAnsi="宋体" w:eastAsia="宋体" w:cs="宋体"/>
          <w:sz w:val="24"/>
          <w:szCs w:val="24"/>
        </w:rPr>
      </w:pPr>
    </w:p>
    <w:p>
      <w:pPr>
        <w:widowControl w:val="0"/>
        <w:tabs>
          <w:tab w:val="left" w:pos="987"/>
        </w:tabs>
        <w:spacing w:line="360" w:lineRule="auto"/>
        <w:ind w:left="568"/>
        <w:outlineLvl w:val="1"/>
        <w:rPr>
          <w:rFonts w:hint="eastAsia" w:ascii="宋体" w:hAnsi="宋体" w:eastAsia="宋体" w:cs="宋体"/>
          <w:b/>
          <w:sz w:val="24"/>
          <w:szCs w:val="24"/>
        </w:rPr>
      </w:pPr>
      <w:r>
        <w:rPr>
          <w:rFonts w:hint="eastAsia" w:ascii="宋体" w:hAnsi="宋体" w:eastAsia="宋体" w:cs="宋体"/>
          <w:b/>
          <w:sz w:val="24"/>
          <w:szCs w:val="24"/>
        </w:rPr>
        <w:t>六、验收标准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根据本项目采购需求的要求，结合黄埔区</w:t>
      </w:r>
      <w:r>
        <w:rPr>
          <w:rFonts w:hint="eastAsia" w:cs="宋体"/>
          <w:sz w:val="24"/>
          <w:szCs w:val="24"/>
          <w:lang w:eastAsia="zh-CN"/>
        </w:rPr>
        <w:t>“</w:t>
      </w:r>
      <w:r>
        <w:rPr>
          <w:rFonts w:hint="eastAsia" w:ascii="宋体" w:hAnsi="宋体" w:eastAsia="宋体" w:cs="宋体"/>
          <w:sz w:val="24"/>
          <w:szCs w:val="24"/>
        </w:rPr>
        <w:t>双反</w:t>
      </w:r>
      <w:r>
        <w:rPr>
          <w:rFonts w:hint="eastAsia" w:cs="宋体"/>
          <w:sz w:val="24"/>
          <w:szCs w:val="24"/>
          <w:lang w:eastAsia="zh-CN"/>
        </w:rPr>
        <w:t>”</w:t>
      </w:r>
      <w:r>
        <w:rPr>
          <w:rFonts w:hint="eastAsia" w:ascii="宋体" w:hAnsi="宋体" w:eastAsia="宋体" w:cs="宋体"/>
          <w:sz w:val="24"/>
          <w:szCs w:val="24"/>
        </w:rPr>
        <w:t>岗位值守工作的要求和标准进行验收。</w:t>
      </w:r>
    </w:p>
    <w:p>
      <w:pPr>
        <w:rPr>
          <w:rFonts w:hint="eastAsia" w:ascii="宋体" w:hAnsi="宋体" w:eastAsia="宋体" w:cs="宋体"/>
          <w:sz w:val="24"/>
          <w:szCs w:val="24"/>
        </w:rPr>
      </w:pPr>
    </w:p>
    <w:p>
      <w:pPr>
        <w:widowControl w:val="0"/>
        <w:spacing w:line="360" w:lineRule="auto"/>
        <w:ind w:left="568"/>
        <w:outlineLvl w:val="1"/>
        <w:rPr>
          <w:rFonts w:hint="eastAsia" w:ascii="宋体" w:hAnsi="宋体" w:eastAsia="宋体" w:cs="宋体"/>
          <w:b/>
          <w:sz w:val="24"/>
          <w:szCs w:val="24"/>
        </w:rPr>
      </w:pPr>
      <w:r>
        <w:rPr>
          <w:rFonts w:hint="eastAsia" w:ascii="宋体" w:hAnsi="宋体" w:eastAsia="宋体" w:cs="宋体"/>
          <w:b/>
          <w:sz w:val="24"/>
          <w:szCs w:val="24"/>
        </w:rPr>
        <w:t>七、服务费内容</w:t>
      </w:r>
      <w:bookmarkEnd w:id="25"/>
    </w:p>
    <w:p>
      <w:pPr>
        <w:widowControl w:val="0"/>
        <w:spacing w:line="360" w:lineRule="auto"/>
        <w:ind w:left="7" w:firstLine="559" w:firstLineChars="233"/>
        <w:rPr>
          <w:rFonts w:hint="eastAsia" w:ascii="宋体" w:hAnsi="宋体" w:eastAsia="宋体" w:cs="宋体"/>
          <w:sz w:val="24"/>
          <w:szCs w:val="24"/>
        </w:rPr>
      </w:pPr>
      <w:r>
        <w:rPr>
          <w:rFonts w:hint="eastAsia" w:ascii="宋体" w:hAnsi="宋体" w:eastAsia="宋体" w:cs="宋体"/>
          <w:sz w:val="24"/>
          <w:szCs w:val="24"/>
        </w:rPr>
        <w:t>采购人支付给中标供应商的服务费，包括但不限于税费、管理费、利润及中标供应商未履行合同支出的各项费用，除合同有明确约定外，采购人不再向中标供应商支付任何费用。</w:t>
      </w:r>
    </w:p>
    <w:p>
      <w:pPr>
        <w:widowControl w:val="0"/>
        <w:spacing w:line="360" w:lineRule="auto"/>
        <w:ind w:left="7" w:firstLine="559" w:firstLineChars="233"/>
        <w:rPr>
          <w:rFonts w:hint="eastAsia" w:ascii="宋体" w:hAnsi="宋体" w:eastAsia="宋体" w:cs="宋体"/>
          <w:sz w:val="24"/>
          <w:szCs w:val="24"/>
        </w:rPr>
      </w:pPr>
      <w:r>
        <w:rPr>
          <w:rFonts w:hint="eastAsia" w:ascii="宋体" w:hAnsi="宋体" w:eastAsia="宋体" w:cs="宋体"/>
          <w:sz w:val="24"/>
          <w:szCs w:val="24"/>
        </w:rPr>
        <w:t>中标人应负责工作期间的安全管理和劳动管理，包括以下各项费用均由中标供应商自行承担：</w:t>
      </w:r>
    </w:p>
    <w:p>
      <w:pPr>
        <w:pStyle w:val="4"/>
        <w:keepNext w:val="0"/>
        <w:keepLines w:val="0"/>
        <w:widowControl w:val="0"/>
        <w:numPr>
          <w:ilvl w:val="0"/>
          <w:numId w:val="7"/>
        </w:numPr>
        <w:tabs>
          <w:tab w:val="left" w:pos="0"/>
          <w:tab w:val="left" w:pos="210"/>
          <w:tab w:val="left" w:pos="419"/>
          <w:tab w:val="left" w:pos="945"/>
          <w:tab w:val="clear" w:pos="720"/>
        </w:tabs>
        <w:autoSpaceDE w:val="0"/>
        <w:autoSpaceDN w:val="0"/>
        <w:adjustRightInd w:val="0"/>
        <w:snapToGrid w:val="0"/>
        <w:spacing w:before="0" w:after="0" w:line="360" w:lineRule="auto"/>
        <w:ind w:left="7" w:firstLine="559" w:firstLineChars="233"/>
        <w:jc w:val="both"/>
        <w:rPr>
          <w:rFonts w:hint="eastAsia" w:ascii="宋体" w:hAnsi="宋体" w:eastAsia="宋体" w:cs="宋体"/>
          <w:b w:val="0"/>
          <w:sz w:val="24"/>
          <w:szCs w:val="24"/>
        </w:rPr>
      </w:pPr>
      <w:bookmarkStart w:id="32" w:name="_Toc364167991"/>
      <w:r>
        <w:rPr>
          <w:rFonts w:hint="eastAsia" w:ascii="宋体" w:hAnsi="宋体" w:eastAsia="宋体" w:cs="宋体"/>
          <w:b w:val="0"/>
          <w:sz w:val="24"/>
          <w:szCs w:val="24"/>
        </w:rPr>
        <w:t>保安员工资和补贴（夜餐费、节假日补贴费及加班费用等）；</w:t>
      </w:r>
    </w:p>
    <w:p>
      <w:pPr>
        <w:pStyle w:val="4"/>
        <w:keepNext w:val="0"/>
        <w:keepLines w:val="0"/>
        <w:widowControl w:val="0"/>
        <w:numPr>
          <w:ilvl w:val="0"/>
          <w:numId w:val="7"/>
        </w:numPr>
        <w:tabs>
          <w:tab w:val="left" w:pos="0"/>
          <w:tab w:val="left" w:pos="210"/>
          <w:tab w:val="left" w:pos="419"/>
          <w:tab w:val="left" w:pos="945"/>
          <w:tab w:val="clear" w:pos="720"/>
        </w:tabs>
        <w:autoSpaceDE w:val="0"/>
        <w:autoSpaceDN w:val="0"/>
        <w:adjustRightInd w:val="0"/>
        <w:snapToGrid w:val="0"/>
        <w:spacing w:before="0" w:after="0" w:line="360" w:lineRule="auto"/>
        <w:ind w:left="7" w:firstLine="559" w:firstLineChars="233"/>
        <w:jc w:val="both"/>
        <w:rPr>
          <w:rFonts w:hint="eastAsia" w:ascii="宋体" w:hAnsi="宋体" w:eastAsia="宋体" w:cs="宋体"/>
          <w:b w:val="0"/>
          <w:sz w:val="24"/>
          <w:szCs w:val="24"/>
        </w:rPr>
      </w:pPr>
      <w:r>
        <w:rPr>
          <w:rFonts w:hint="eastAsia" w:ascii="宋体" w:hAnsi="宋体" w:eastAsia="宋体" w:cs="宋体"/>
          <w:b w:val="0"/>
          <w:sz w:val="24"/>
          <w:szCs w:val="24"/>
        </w:rPr>
        <w:t>购置从事保安工作必备的统一的服装、器械等装备费用；</w:t>
      </w:r>
      <w:bookmarkEnd w:id="32"/>
      <w:bookmarkStart w:id="33" w:name="_Toc364167992"/>
    </w:p>
    <w:p>
      <w:pPr>
        <w:pStyle w:val="4"/>
        <w:keepNext w:val="0"/>
        <w:keepLines w:val="0"/>
        <w:widowControl w:val="0"/>
        <w:numPr>
          <w:ilvl w:val="0"/>
          <w:numId w:val="7"/>
        </w:numPr>
        <w:tabs>
          <w:tab w:val="left" w:pos="0"/>
          <w:tab w:val="left" w:pos="210"/>
          <w:tab w:val="left" w:pos="419"/>
          <w:tab w:val="left" w:pos="945"/>
          <w:tab w:val="clear" w:pos="720"/>
        </w:tabs>
        <w:autoSpaceDE w:val="0"/>
        <w:autoSpaceDN w:val="0"/>
        <w:adjustRightInd w:val="0"/>
        <w:snapToGrid w:val="0"/>
        <w:spacing w:before="0" w:after="0" w:line="360" w:lineRule="auto"/>
        <w:ind w:left="7" w:firstLine="559" w:firstLineChars="233"/>
        <w:jc w:val="both"/>
        <w:rPr>
          <w:rFonts w:hint="eastAsia" w:ascii="宋体" w:hAnsi="宋体" w:eastAsia="宋体" w:cs="宋体"/>
          <w:b w:val="0"/>
          <w:sz w:val="24"/>
          <w:szCs w:val="24"/>
        </w:rPr>
      </w:pPr>
      <w:r>
        <w:rPr>
          <w:rFonts w:hint="eastAsia" w:ascii="宋体" w:hAnsi="宋体" w:eastAsia="宋体" w:cs="宋体"/>
          <w:b w:val="0"/>
          <w:sz w:val="24"/>
          <w:szCs w:val="24"/>
        </w:rPr>
        <w:t>购买保安员社会保险</w:t>
      </w:r>
      <w:bookmarkEnd w:id="33"/>
      <w:r>
        <w:rPr>
          <w:rFonts w:hint="eastAsia" w:ascii="宋体" w:hAnsi="宋体" w:eastAsia="宋体" w:cs="宋体"/>
          <w:b w:val="0"/>
          <w:sz w:val="24"/>
          <w:szCs w:val="24"/>
        </w:rPr>
        <w:t>、住房公积金等费用；</w:t>
      </w:r>
    </w:p>
    <w:p>
      <w:pPr>
        <w:pStyle w:val="4"/>
        <w:keepNext w:val="0"/>
        <w:keepLines w:val="0"/>
        <w:widowControl w:val="0"/>
        <w:numPr>
          <w:ilvl w:val="0"/>
          <w:numId w:val="7"/>
        </w:numPr>
        <w:tabs>
          <w:tab w:val="left" w:pos="0"/>
          <w:tab w:val="left" w:pos="210"/>
          <w:tab w:val="left" w:pos="419"/>
          <w:tab w:val="left" w:pos="945"/>
          <w:tab w:val="clear" w:pos="720"/>
        </w:tabs>
        <w:autoSpaceDE w:val="0"/>
        <w:autoSpaceDN w:val="0"/>
        <w:adjustRightInd w:val="0"/>
        <w:snapToGrid w:val="0"/>
        <w:spacing w:before="0" w:after="0" w:line="360" w:lineRule="auto"/>
        <w:ind w:left="7" w:firstLine="559" w:firstLineChars="233"/>
        <w:jc w:val="both"/>
        <w:rPr>
          <w:rFonts w:hint="eastAsia" w:ascii="宋体" w:hAnsi="宋体" w:eastAsia="宋体" w:cs="宋体"/>
          <w:b/>
          <w:sz w:val="24"/>
          <w:szCs w:val="24"/>
        </w:rPr>
      </w:pPr>
      <w:r>
        <w:rPr>
          <w:rFonts w:hint="eastAsia" w:ascii="宋体" w:hAnsi="宋体" w:eastAsia="宋体" w:cs="宋体"/>
          <w:b w:val="0"/>
          <w:sz w:val="24"/>
          <w:szCs w:val="24"/>
        </w:rPr>
        <w:t>保安员因工致伤、残、死亡时发生的全部费用</w:t>
      </w:r>
      <w:r>
        <w:rPr>
          <w:rFonts w:hint="eastAsia" w:ascii="宋体" w:hAnsi="宋体" w:eastAsia="宋体" w:cs="宋体"/>
          <w:sz w:val="24"/>
          <w:szCs w:val="24"/>
        </w:rPr>
        <w:t>。</w:t>
      </w:r>
    </w:p>
    <w:p>
      <w:pPr>
        <w:widowControl w:val="0"/>
        <w:spacing w:line="360" w:lineRule="auto"/>
        <w:ind w:left="568"/>
        <w:outlineLvl w:val="1"/>
        <w:rPr>
          <w:rFonts w:hint="eastAsia" w:ascii="宋体" w:hAnsi="宋体" w:eastAsia="宋体" w:cs="宋体"/>
          <w:b/>
          <w:sz w:val="24"/>
          <w:szCs w:val="24"/>
        </w:rPr>
      </w:pPr>
      <w:r>
        <w:rPr>
          <w:rFonts w:hint="eastAsia" w:ascii="宋体" w:hAnsi="宋体" w:eastAsia="宋体" w:cs="宋体"/>
          <w:b/>
          <w:sz w:val="24"/>
          <w:szCs w:val="24"/>
        </w:rPr>
        <w:t>八、付款方式</w:t>
      </w:r>
      <w:bookmarkEnd w:id="26"/>
      <w:bookmarkEnd w:id="27"/>
      <w:bookmarkEnd w:id="28"/>
    </w:p>
    <w:p>
      <w:pPr>
        <w:widowControl w:val="0"/>
        <w:spacing w:line="360" w:lineRule="auto"/>
        <w:ind w:firstLine="480" w:firstLineChars="200"/>
        <w:rPr>
          <w:rFonts w:hint="eastAsia" w:ascii="宋体" w:hAnsi="宋体" w:eastAsia="宋体" w:cs="宋体"/>
          <w:sz w:val="24"/>
          <w:szCs w:val="24"/>
        </w:rPr>
      </w:pPr>
      <w:bookmarkStart w:id="34" w:name="_Toc384977584"/>
      <w:r>
        <w:rPr>
          <w:rFonts w:hint="eastAsia" w:ascii="宋体" w:hAnsi="宋体" w:eastAsia="宋体" w:cs="宋体"/>
          <w:sz w:val="24"/>
          <w:szCs w:val="24"/>
        </w:rPr>
        <w:t>合同签订后</w:t>
      </w:r>
      <w:r>
        <w:rPr>
          <w:rFonts w:hint="eastAsia" w:ascii="宋体" w:hAnsi="宋体" w:eastAsia="宋体" w:cs="宋体"/>
          <w:sz w:val="24"/>
          <w:szCs w:val="24"/>
          <w:lang w:eastAsia="zh-CN"/>
        </w:rPr>
        <w:t>，</w:t>
      </w:r>
      <w:r>
        <w:rPr>
          <w:rFonts w:hint="eastAsia" w:ascii="宋体" w:hAnsi="宋体" w:eastAsia="宋体" w:cs="宋体"/>
          <w:sz w:val="24"/>
          <w:szCs w:val="24"/>
        </w:rPr>
        <w:t>按合同规定方式支付服务费。</w:t>
      </w:r>
      <w:bookmarkEnd w:id="34"/>
    </w:p>
    <w:p>
      <w:pPr>
        <w:widowControl w:val="0"/>
        <w:spacing w:line="360" w:lineRule="auto"/>
        <w:ind w:firstLine="480" w:firstLineChars="200"/>
        <w:rPr>
          <w:rFonts w:hint="eastAsia" w:ascii="宋体" w:hAnsi="宋体" w:eastAsia="宋体" w:cs="宋体"/>
          <w:sz w:val="24"/>
          <w:szCs w:val="24"/>
        </w:rPr>
      </w:pPr>
    </w:p>
    <w:p>
      <w:pPr>
        <w:widowControl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九、备注</w:t>
      </w:r>
    </w:p>
    <w:bookmarkEnd w:id="1"/>
    <w:bookmarkEnd w:id="2"/>
    <w:bookmarkEnd w:id="3"/>
    <w:bookmarkEnd w:id="4"/>
    <w:bookmarkEnd w:id="5"/>
    <w:bookmarkEnd w:id="6"/>
    <w:bookmarkEnd w:id="7"/>
    <w:bookmarkEnd w:id="8"/>
    <w:bookmarkEnd w:id="9"/>
    <w:p>
      <w:pPr>
        <w:widowControl w:val="0"/>
        <w:spacing w:line="360" w:lineRule="auto"/>
        <w:ind w:left="7" w:firstLine="561" w:firstLineChars="233"/>
        <w:outlineLvl w:val="1"/>
        <w:rPr>
          <w:rFonts w:hint="eastAsia" w:ascii="宋体" w:hAnsi="宋体" w:eastAsia="宋体" w:cs="宋体"/>
          <w:b/>
          <w:sz w:val="24"/>
          <w:szCs w:val="24"/>
        </w:rPr>
      </w:pPr>
      <w:r>
        <w:rPr>
          <w:rFonts w:hint="eastAsia" w:ascii="宋体" w:hAnsi="宋体" w:eastAsia="宋体" w:cs="宋体"/>
          <w:b/>
          <w:sz w:val="24"/>
          <w:szCs w:val="24"/>
        </w:rPr>
        <w:t>项目履行期间，如因不可抗力、上级政府部门行政命令、社会实际形势发生重大变化</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采购人相关费用预算使用完毕</w:t>
      </w:r>
      <w:r>
        <w:rPr>
          <w:rFonts w:hint="eastAsia" w:ascii="宋体" w:hAnsi="宋体" w:eastAsia="宋体" w:cs="宋体"/>
          <w:b/>
          <w:sz w:val="24"/>
          <w:szCs w:val="24"/>
        </w:rPr>
        <w:t>等因素，本项目无存续必要，甲方提前五日通知乙方并终止本合同。服务费按照乙方实际投入的人员及管理情况，结合服务</w:t>
      </w:r>
      <w:r>
        <w:rPr>
          <w:rFonts w:hint="eastAsia" w:cs="宋体"/>
          <w:b/>
          <w:color w:val="FF0000"/>
          <w:sz w:val="24"/>
          <w:szCs w:val="24"/>
          <w:lang w:val="en-US" w:eastAsia="zh-CN"/>
        </w:rPr>
        <w:t>实际</w:t>
      </w:r>
      <w:r>
        <w:rPr>
          <w:rFonts w:hint="eastAsia" w:ascii="宋体" w:hAnsi="宋体" w:eastAsia="宋体" w:cs="宋体"/>
          <w:b/>
          <w:sz w:val="24"/>
          <w:szCs w:val="24"/>
        </w:rPr>
        <w:t>天数</w:t>
      </w:r>
      <w:r>
        <w:rPr>
          <w:rFonts w:hint="eastAsia" w:cs="宋体"/>
          <w:b/>
          <w:sz w:val="24"/>
          <w:szCs w:val="24"/>
          <w:lang w:eastAsia="zh-CN"/>
        </w:rPr>
        <w:t>、服务单价</w:t>
      </w:r>
      <w:r>
        <w:rPr>
          <w:rFonts w:hint="eastAsia" w:ascii="宋体" w:hAnsi="宋体" w:eastAsia="宋体" w:cs="宋体"/>
          <w:b/>
          <w:sz w:val="24"/>
          <w:szCs w:val="24"/>
        </w:rPr>
        <w:t>和考核质量进行结算。</w:t>
      </w:r>
    </w:p>
    <w:p>
      <w:pPr>
        <w:ind w:firstLine="440" w:firstLineChars="200"/>
      </w:pPr>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B3683"/>
    <w:multiLevelType w:val="multilevel"/>
    <w:tmpl w:val="105B3683"/>
    <w:lvl w:ilvl="0" w:tentative="0">
      <w:start w:val="1"/>
      <w:numFmt w:val="japaneseCounting"/>
      <w:lvlText w:val="（%1）"/>
      <w:lvlJc w:val="left"/>
      <w:pPr>
        <w:ind w:left="1245" w:hanging="72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1C407B11"/>
    <w:multiLevelType w:val="multilevel"/>
    <w:tmpl w:val="1C407B11"/>
    <w:lvl w:ilvl="0" w:tentative="0">
      <w:start w:val="1"/>
      <w:numFmt w:val="japaneseCounting"/>
      <w:lvlText w:val="（%1）"/>
      <w:lvlJc w:val="left"/>
      <w:pPr>
        <w:ind w:left="1245" w:hanging="72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23801758"/>
    <w:multiLevelType w:val="multilevel"/>
    <w:tmpl w:val="23801758"/>
    <w:lvl w:ilvl="0" w:tentative="0">
      <w:start w:val="1"/>
      <w:numFmt w:val="decimal"/>
      <w:lvlText w:val="%1."/>
      <w:lvlJc w:val="left"/>
      <w:pPr>
        <w:tabs>
          <w:tab w:val="left" w:pos="1155"/>
        </w:tabs>
        <w:ind w:left="1070" w:hanging="420"/>
      </w:pPr>
    </w:lvl>
    <w:lvl w:ilvl="1" w:tentative="0">
      <w:start w:val="1"/>
      <w:numFmt w:val="lowerLetter"/>
      <w:lvlText w:val="%2)"/>
      <w:lvlJc w:val="left"/>
      <w:pPr>
        <w:tabs>
          <w:tab w:val="left" w:pos="1575"/>
        </w:tabs>
        <w:ind w:left="1490" w:hanging="420"/>
      </w:pPr>
    </w:lvl>
    <w:lvl w:ilvl="2" w:tentative="0">
      <w:start w:val="1"/>
      <w:numFmt w:val="lowerRoman"/>
      <w:lvlText w:val="%3."/>
      <w:lvlJc w:val="right"/>
      <w:pPr>
        <w:tabs>
          <w:tab w:val="left" w:pos="1995"/>
        </w:tabs>
        <w:ind w:left="1910" w:hanging="420"/>
      </w:pPr>
    </w:lvl>
    <w:lvl w:ilvl="3" w:tentative="0">
      <w:start w:val="1"/>
      <w:numFmt w:val="decimal"/>
      <w:lvlText w:val="%4."/>
      <w:lvlJc w:val="left"/>
      <w:pPr>
        <w:tabs>
          <w:tab w:val="left" w:pos="2415"/>
        </w:tabs>
        <w:ind w:left="2330" w:hanging="420"/>
      </w:pPr>
    </w:lvl>
    <w:lvl w:ilvl="4" w:tentative="0">
      <w:start w:val="1"/>
      <w:numFmt w:val="lowerLetter"/>
      <w:lvlText w:val="%5)"/>
      <w:lvlJc w:val="left"/>
      <w:pPr>
        <w:tabs>
          <w:tab w:val="left" w:pos="2835"/>
        </w:tabs>
        <w:ind w:left="2750" w:hanging="420"/>
      </w:pPr>
    </w:lvl>
    <w:lvl w:ilvl="5" w:tentative="0">
      <w:start w:val="1"/>
      <w:numFmt w:val="lowerRoman"/>
      <w:lvlText w:val="%6."/>
      <w:lvlJc w:val="right"/>
      <w:pPr>
        <w:tabs>
          <w:tab w:val="left" w:pos="3255"/>
        </w:tabs>
        <w:ind w:left="3170" w:hanging="420"/>
      </w:pPr>
    </w:lvl>
    <w:lvl w:ilvl="6" w:tentative="0">
      <w:start w:val="1"/>
      <w:numFmt w:val="decimal"/>
      <w:lvlText w:val="%7."/>
      <w:lvlJc w:val="left"/>
      <w:pPr>
        <w:tabs>
          <w:tab w:val="left" w:pos="3675"/>
        </w:tabs>
        <w:ind w:left="3590" w:hanging="420"/>
      </w:pPr>
    </w:lvl>
    <w:lvl w:ilvl="7" w:tentative="0">
      <w:start w:val="1"/>
      <w:numFmt w:val="lowerLetter"/>
      <w:lvlText w:val="%8)"/>
      <w:lvlJc w:val="left"/>
      <w:pPr>
        <w:tabs>
          <w:tab w:val="left" w:pos="4095"/>
        </w:tabs>
        <w:ind w:left="4010" w:hanging="420"/>
      </w:pPr>
    </w:lvl>
    <w:lvl w:ilvl="8" w:tentative="0">
      <w:start w:val="1"/>
      <w:numFmt w:val="lowerRoman"/>
      <w:lvlText w:val="%9."/>
      <w:lvlJc w:val="right"/>
      <w:pPr>
        <w:tabs>
          <w:tab w:val="left" w:pos="4515"/>
        </w:tabs>
        <w:ind w:left="4430" w:hanging="420"/>
      </w:pPr>
    </w:lvl>
  </w:abstractNum>
  <w:abstractNum w:abstractNumId="3">
    <w:nsid w:val="30544AE0"/>
    <w:multiLevelType w:val="multilevel"/>
    <w:tmpl w:val="30544AE0"/>
    <w:lvl w:ilvl="0" w:tentative="0">
      <w:start w:val="1"/>
      <w:numFmt w:val="decimal"/>
      <w:lvlText w:val="%1."/>
      <w:lvlJc w:val="left"/>
      <w:pPr>
        <w:tabs>
          <w:tab w:val="left" w:pos="420"/>
        </w:tabs>
        <w:ind w:left="1320" w:hanging="420"/>
      </w:pPr>
    </w:lvl>
    <w:lvl w:ilvl="1" w:tentative="0">
      <w:start w:val="1"/>
      <w:numFmt w:val="lowerLetter"/>
      <w:lvlText w:val="%2)"/>
      <w:lvlJc w:val="left"/>
      <w:pPr>
        <w:tabs>
          <w:tab w:val="left" w:pos="420"/>
        </w:tabs>
        <w:ind w:left="1740" w:hanging="420"/>
      </w:pPr>
    </w:lvl>
    <w:lvl w:ilvl="2" w:tentative="0">
      <w:start w:val="1"/>
      <w:numFmt w:val="lowerRoman"/>
      <w:lvlText w:val="%3."/>
      <w:lvlJc w:val="right"/>
      <w:pPr>
        <w:tabs>
          <w:tab w:val="left" w:pos="420"/>
        </w:tabs>
        <w:ind w:left="2160" w:hanging="420"/>
      </w:pPr>
    </w:lvl>
    <w:lvl w:ilvl="3" w:tentative="0">
      <w:start w:val="1"/>
      <w:numFmt w:val="decimal"/>
      <w:lvlText w:val="%4."/>
      <w:lvlJc w:val="left"/>
      <w:pPr>
        <w:tabs>
          <w:tab w:val="left" w:pos="420"/>
        </w:tabs>
        <w:ind w:left="2580" w:hanging="420"/>
      </w:pPr>
    </w:lvl>
    <w:lvl w:ilvl="4" w:tentative="0">
      <w:start w:val="1"/>
      <w:numFmt w:val="lowerLetter"/>
      <w:lvlText w:val="%5)"/>
      <w:lvlJc w:val="left"/>
      <w:pPr>
        <w:tabs>
          <w:tab w:val="left" w:pos="420"/>
        </w:tabs>
        <w:ind w:left="3000" w:hanging="420"/>
      </w:pPr>
    </w:lvl>
    <w:lvl w:ilvl="5" w:tentative="0">
      <w:start w:val="1"/>
      <w:numFmt w:val="lowerRoman"/>
      <w:lvlText w:val="%6."/>
      <w:lvlJc w:val="right"/>
      <w:pPr>
        <w:tabs>
          <w:tab w:val="left" w:pos="420"/>
        </w:tabs>
        <w:ind w:left="3420" w:hanging="420"/>
      </w:pPr>
    </w:lvl>
    <w:lvl w:ilvl="6" w:tentative="0">
      <w:start w:val="1"/>
      <w:numFmt w:val="decimal"/>
      <w:lvlText w:val="%7."/>
      <w:lvlJc w:val="left"/>
      <w:pPr>
        <w:tabs>
          <w:tab w:val="left" w:pos="420"/>
        </w:tabs>
        <w:ind w:left="3840" w:hanging="420"/>
      </w:pPr>
    </w:lvl>
    <w:lvl w:ilvl="7" w:tentative="0">
      <w:start w:val="1"/>
      <w:numFmt w:val="lowerLetter"/>
      <w:lvlText w:val="%8)"/>
      <w:lvlJc w:val="left"/>
      <w:pPr>
        <w:tabs>
          <w:tab w:val="left" w:pos="420"/>
        </w:tabs>
        <w:ind w:left="4260" w:hanging="420"/>
      </w:pPr>
    </w:lvl>
    <w:lvl w:ilvl="8" w:tentative="0">
      <w:start w:val="1"/>
      <w:numFmt w:val="lowerRoman"/>
      <w:lvlText w:val="%9."/>
      <w:lvlJc w:val="right"/>
      <w:pPr>
        <w:tabs>
          <w:tab w:val="left" w:pos="420"/>
        </w:tabs>
        <w:ind w:left="4680" w:hanging="420"/>
      </w:pPr>
    </w:lvl>
  </w:abstractNum>
  <w:abstractNum w:abstractNumId="4">
    <w:nsid w:val="3BFF5D2F"/>
    <w:multiLevelType w:val="multilevel"/>
    <w:tmpl w:val="3BFF5D2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06B01BE"/>
    <w:multiLevelType w:val="multilevel"/>
    <w:tmpl w:val="406B01BE"/>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DEB008E"/>
    <w:multiLevelType w:val="multilevel"/>
    <w:tmpl w:val="7DEB008E"/>
    <w:lvl w:ilvl="0" w:tentative="0">
      <w:start w:val="1"/>
      <w:numFmt w:val="japaneseCounting"/>
      <w:lvlText w:val="（%1）"/>
      <w:lvlJc w:val="left"/>
      <w:pPr>
        <w:tabs>
          <w:tab w:val="left" w:pos="720"/>
        </w:tabs>
        <w:ind w:left="720" w:hanging="7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NWZjMTg0YzRiZTRmM2I2M2EwMjJjMzJiZTlkNDYifQ=="/>
  </w:docVars>
  <w:rsids>
    <w:rsidRoot w:val="13C91694"/>
    <w:rsid w:val="13C91694"/>
    <w:rsid w:val="1EB63404"/>
    <w:rsid w:val="1FB212F0"/>
    <w:rsid w:val="2C3E63D7"/>
    <w:rsid w:val="458A7F4A"/>
    <w:rsid w:val="6DA47052"/>
    <w:rsid w:val="6E92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3"/>
    <w:basedOn w:val="1"/>
    <w:next w:val="1"/>
    <w:qFormat/>
    <w:uiPriority w:val="1"/>
    <w:pPr>
      <w:ind w:left="534" w:right="938"/>
      <w:jc w:val="center"/>
      <w:outlineLvl w:val="2"/>
    </w:pPr>
    <w:rPr>
      <w:rFonts w:ascii="微软雅黑" w:hAnsi="微软雅黑" w:eastAsia="微软雅黑" w:cs="微软雅黑"/>
      <w:b/>
      <w:bCs/>
      <w:sz w:val="28"/>
      <w:szCs w:val="28"/>
      <w:u w:val="single" w:color="00000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Body Text Indent"/>
    <w:basedOn w:val="1"/>
    <w:qFormat/>
    <w:uiPriority w:val="0"/>
    <w:pPr>
      <w:ind w:left="420" w:leftChars="200" w:firstLine="420" w:firstLineChars="200"/>
    </w:pPr>
  </w:style>
  <w:style w:type="paragraph" w:customStyle="1" w:styleId="7">
    <w:name w:val="列表段落1"/>
    <w:basedOn w:val="1"/>
    <w:qFormat/>
    <w:uiPriority w:val="1"/>
    <w:pPr>
      <w:ind w:left="1106" w:hanging="567"/>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2985</Words>
  <Characters>3020</Characters>
  <Lines>0</Lines>
  <Paragraphs>0</Paragraphs>
  <TotalTime>1</TotalTime>
  <ScaleCrop>false</ScaleCrop>
  <LinksUpToDate>false</LinksUpToDate>
  <CharactersWithSpaces>3052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2022-12-03T14:32:00Z</dcterms:created>
  <dc:creator> =￣ω￣=</dc:creator>
  <cp:lastModifiedBy>mumu</cp:lastModifiedBy>
  <dcterms:modified xsi:type="dcterms:W3CDTF">2022-12-06T08:53:14Z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D65614E0F3FE427EADACEBC5CD907F23</vt:lpwstr>
  </property>
</Properties>
</file>