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EE" w:rsidRDefault="008D0794">
      <w:pPr>
        <w:spacing w:before="300"/>
        <w:rPr>
          <w:rFonts w:ascii="宋体"/>
          <w:sz w:val="21"/>
          <w:szCs w:val="21"/>
        </w:rPr>
      </w:pPr>
      <w:bookmarkStart w:id="0" w:name="_GoBack"/>
      <w:bookmarkEnd w:id="0"/>
      <w:r>
        <w:rPr>
          <w:rFonts w:ascii="宋体" w:hAnsi="宋体" w:hint="eastAsia"/>
          <w:sz w:val="21"/>
          <w:szCs w:val="21"/>
        </w:rPr>
        <w:t>证券代码：</w:t>
      </w:r>
      <w:r>
        <w:rPr>
          <w:rFonts w:ascii="宋体" w:hAnsi="宋体"/>
          <w:sz w:val="21"/>
          <w:szCs w:val="21"/>
        </w:rPr>
        <w:t xml:space="preserve">000685                 </w:t>
      </w:r>
      <w:r>
        <w:rPr>
          <w:rFonts w:ascii="宋体" w:hAnsi="宋体" w:hint="eastAsia"/>
          <w:sz w:val="21"/>
          <w:szCs w:val="21"/>
        </w:rPr>
        <w:t>证券简称：中山公用</w:t>
      </w:r>
      <w:r>
        <w:rPr>
          <w:rFonts w:ascii="宋体" w:hAnsi="宋体"/>
          <w:sz w:val="21"/>
          <w:szCs w:val="21"/>
        </w:rPr>
        <w:t xml:space="preserve">                  </w:t>
      </w:r>
      <w:r>
        <w:rPr>
          <w:rFonts w:ascii="宋体" w:hAnsi="宋体" w:hint="eastAsia"/>
          <w:sz w:val="21"/>
          <w:szCs w:val="21"/>
        </w:rPr>
        <w:t>公告编号：</w:t>
      </w:r>
      <w:r>
        <w:rPr>
          <w:rFonts w:ascii="宋体" w:hAnsi="宋体"/>
          <w:sz w:val="21"/>
          <w:szCs w:val="21"/>
        </w:rPr>
        <w:t>2018-030</w:t>
      </w:r>
    </w:p>
    <w:p w:rsidR="00AB3AEE" w:rsidRDefault="008D0794">
      <w:pPr>
        <w:spacing w:before="700" w:after="700"/>
        <w:jc w:val="center"/>
        <w:rPr>
          <w:rFonts w:cs="Times New Roman"/>
          <w:b/>
          <w:bCs/>
          <w:sz w:val="36"/>
          <w:szCs w:val="36"/>
        </w:rPr>
      </w:pPr>
      <w:r>
        <w:rPr>
          <w:rFonts w:hint="eastAsia"/>
          <w:b/>
          <w:bCs/>
          <w:sz w:val="36"/>
          <w:szCs w:val="36"/>
        </w:rPr>
        <w:t>中山公用事业集团股份有限公司</w:t>
      </w:r>
      <w:r>
        <w:rPr>
          <w:rFonts w:cs="Times New Roman"/>
          <w:b/>
          <w:bCs/>
          <w:sz w:val="36"/>
          <w:szCs w:val="36"/>
        </w:rPr>
        <w:t>2017</w:t>
      </w:r>
      <w:r>
        <w:rPr>
          <w:rFonts w:hint="eastAsia"/>
          <w:b/>
          <w:bCs/>
          <w:sz w:val="36"/>
          <w:szCs w:val="36"/>
        </w:rPr>
        <w:t>年年度报告摘要</w:t>
      </w:r>
    </w:p>
    <w:p w:rsidR="00AB3AEE" w:rsidRDefault="008D0794">
      <w:pPr>
        <w:pStyle w:val="Chapter"/>
        <w:spacing w:before="0" w:after="0" w:line="360" w:lineRule="auto"/>
        <w:outlineLvl w:val="1"/>
        <w:rPr>
          <w:rFonts w:ascii="宋体"/>
        </w:rPr>
      </w:pPr>
      <w:r>
        <w:rPr>
          <w:rFonts w:ascii="宋体" w:hAnsi="宋体" w:hint="eastAsia"/>
        </w:rPr>
        <w:t>一、重要提示</w:t>
      </w:r>
    </w:p>
    <w:p w:rsidR="00AB3AEE" w:rsidRDefault="008D0794">
      <w:pPr>
        <w:spacing w:before="0" w:after="0" w:line="360" w:lineRule="auto"/>
        <w:ind w:firstLineChars="200" w:firstLine="480"/>
        <w:jc w:val="left"/>
        <w:rPr>
          <w:rFonts w:ascii="宋体"/>
          <w:sz w:val="24"/>
          <w:szCs w:val="24"/>
        </w:rPr>
      </w:pPr>
      <w:r>
        <w:rPr>
          <w:rFonts w:ascii="宋体" w:hAnsi="宋体" w:hint="eastAsia"/>
          <w:sz w:val="24"/>
          <w:szCs w:val="24"/>
        </w:rPr>
        <w:t>本年度报告摘要来自年度报告全文，为全面了解本公司的经营成果、财务状况及未来发展规划，投资者应当到证监会指定媒体仔细阅读年度报告全文。</w:t>
      </w:r>
    </w:p>
    <w:p w:rsidR="00AB3AEE" w:rsidRDefault="008D0794">
      <w:pPr>
        <w:spacing w:before="0" w:after="0" w:line="360" w:lineRule="auto"/>
        <w:ind w:firstLineChars="200" w:firstLine="480"/>
        <w:rPr>
          <w:sz w:val="24"/>
          <w:szCs w:val="24"/>
        </w:rPr>
      </w:pPr>
      <w:r>
        <w:rPr>
          <w:rFonts w:ascii="宋体" w:hAnsi="宋体" w:hint="eastAsia"/>
          <w:sz w:val="24"/>
          <w:szCs w:val="24"/>
        </w:rPr>
        <w:t>除下列董事外，其他董事亲自出席了审议本次年报的董事会会议。</w:t>
      </w:r>
    </w:p>
    <w:tbl>
      <w:tblPr>
        <w:tblW w:w="0" w:type="auto"/>
        <w:tblInd w:w="28" w:type="dxa"/>
        <w:tblLayout w:type="fixed"/>
        <w:tblCellMar>
          <w:left w:w="28" w:type="dxa"/>
          <w:right w:w="28" w:type="dxa"/>
        </w:tblCellMar>
        <w:tblLook w:val="0000" w:firstRow="0" w:lastRow="0" w:firstColumn="0" w:lastColumn="0" w:noHBand="0" w:noVBand="0"/>
      </w:tblPr>
      <w:tblGrid>
        <w:gridCol w:w="2392"/>
        <w:gridCol w:w="2392"/>
        <w:gridCol w:w="2392"/>
        <w:gridCol w:w="2392"/>
      </w:tblGrid>
      <w:tr w:rsidR="00AB3AEE">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eastAsia="Times New Roman" w:cs="Times New Roman"/>
                <w:sz w:val="21"/>
                <w:szCs w:val="21"/>
              </w:rPr>
            </w:pPr>
            <w:r>
              <w:rPr>
                <w:rFonts w:hint="eastAsia"/>
                <w:sz w:val="21"/>
                <w:szCs w:val="21"/>
              </w:rPr>
              <w:t>未亲自出席董事姓名</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eastAsia="Times New Roman" w:cs="Times New Roman"/>
                <w:sz w:val="21"/>
                <w:szCs w:val="21"/>
              </w:rPr>
            </w:pPr>
            <w:r>
              <w:rPr>
                <w:rFonts w:hint="eastAsia"/>
                <w:sz w:val="21"/>
                <w:szCs w:val="21"/>
              </w:rPr>
              <w:t>未亲自出席董事职务</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eastAsia="Times New Roman" w:cs="Times New Roman"/>
                <w:sz w:val="21"/>
                <w:szCs w:val="21"/>
              </w:rPr>
            </w:pPr>
            <w:r>
              <w:rPr>
                <w:rFonts w:hint="eastAsia"/>
                <w:sz w:val="21"/>
                <w:szCs w:val="21"/>
              </w:rPr>
              <w:t>未亲自出席会议原因</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eastAsia="Times New Roman" w:cs="Times New Roman"/>
                <w:sz w:val="21"/>
                <w:szCs w:val="21"/>
              </w:rPr>
            </w:pPr>
            <w:r>
              <w:rPr>
                <w:rFonts w:hint="eastAsia"/>
                <w:sz w:val="21"/>
                <w:szCs w:val="21"/>
              </w:rPr>
              <w:t>被委托人姓名</w:t>
            </w:r>
          </w:p>
        </w:tc>
      </w:tr>
      <w:tr w:rsidR="00AB3AE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cs="Times New Roman"/>
                <w:sz w:val="21"/>
                <w:szCs w:val="21"/>
              </w:rPr>
            </w:pPr>
            <w:r>
              <w:rPr>
                <w:rFonts w:hint="eastAsia"/>
                <w:sz w:val="21"/>
                <w:szCs w:val="21"/>
              </w:rPr>
              <w:t>苏斌</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cs="Times New Roman"/>
                <w:sz w:val="21"/>
                <w:szCs w:val="21"/>
              </w:rPr>
            </w:pPr>
            <w:r>
              <w:rPr>
                <w:rFonts w:hint="eastAsia"/>
                <w:sz w:val="21"/>
                <w:szCs w:val="21"/>
              </w:rPr>
              <w:t>副董事长</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eastAsia="Times New Roman" w:cs="Times New Roman"/>
                <w:sz w:val="21"/>
                <w:szCs w:val="21"/>
              </w:rPr>
            </w:pPr>
            <w:r>
              <w:rPr>
                <w:rFonts w:hint="eastAsia"/>
                <w:sz w:val="21"/>
                <w:szCs w:val="21"/>
              </w:rPr>
              <w:t>工作原因</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eastAsia="Times New Roman" w:cs="Times New Roman"/>
                <w:sz w:val="21"/>
                <w:szCs w:val="21"/>
              </w:rPr>
            </w:pPr>
            <w:r>
              <w:rPr>
                <w:rFonts w:hint="eastAsia"/>
                <w:sz w:val="21"/>
                <w:szCs w:val="21"/>
              </w:rPr>
              <w:t>何清</w:t>
            </w:r>
          </w:p>
        </w:tc>
      </w:tr>
      <w:tr w:rsidR="00AB3AEE">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cs="Times New Roman"/>
                <w:sz w:val="21"/>
                <w:szCs w:val="21"/>
              </w:rPr>
            </w:pPr>
            <w:r>
              <w:rPr>
                <w:rFonts w:hint="eastAsia"/>
                <w:sz w:val="21"/>
                <w:szCs w:val="21"/>
              </w:rPr>
              <w:t>陆奕燎</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eastAsia="Times New Roman" w:cs="Times New Roman"/>
                <w:sz w:val="21"/>
                <w:szCs w:val="21"/>
              </w:rPr>
            </w:pPr>
            <w:r>
              <w:rPr>
                <w:rFonts w:hint="eastAsia"/>
                <w:sz w:val="21"/>
                <w:szCs w:val="21"/>
              </w:rPr>
              <w:t>董事</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cs="Times New Roman"/>
                <w:sz w:val="21"/>
                <w:szCs w:val="21"/>
              </w:rPr>
            </w:pPr>
            <w:r>
              <w:rPr>
                <w:rFonts w:hint="eastAsia"/>
                <w:sz w:val="21"/>
                <w:szCs w:val="21"/>
              </w:rPr>
              <w:t>工作原因</w:t>
            </w:r>
          </w:p>
        </w:tc>
        <w:tc>
          <w:tcPr>
            <w:tcW w:w="239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cs="Times New Roman"/>
                <w:sz w:val="21"/>
                <w:szCs w:val="21"/>
              </w:rPr>
            </w:pPr>
            <w:r>
              <w:rPr>
                <w:rFonts w:hint="eastAsia"/>
                <w:sz w:val="21"/>
                <w:szCs w:val="21"/>
              </w:rPr>
              <w:t>何锐驹</w:t>
            </w:r>
          </w:p>
        </w:tc>
      </w:tr>
    </w:tbl>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非标准审计意见提示</w:t>
      </w:r>
    </w:p>
    <w:p w:rsidR="00AB3AEE" w:rsidRDefault="008D0794">
      <w:pPr>
        <w:spacing w:before="0" w:after="0"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董事会审议的报告期普通股利润分配预案或公积金转增股本预案</w:t>
      </w:r>
    </w:p>
    <w:p w:rsidR="00AB3AEE" w:rsidRDefault="008D0794">
      <w:pPr>
        <w:spacing w:before="0" w:after="0"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是否以公积金转增股本</w:t>
      </w:r>
    </w:p>
    <w:p w:rsidR="00AB3AEE" w:rsidRDefault="008D0794">
      <w:pPr>
        <w:spacing w:before="0" w:after="0"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否</w:t>
      </w:r>
      <w:r>
        <w:rPr>
          <w:rFonts w:ascii="宋体" w:hAnsi="宋体"/>
          <w:sz w:val="24"/>
          <w:szCs w:val="24"/>
        </w:rPr>
        <w:t xml:space="preserve"> </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公司经本次董事会审议通过的利润分配预案为：以</w:t>
      </w:r>
      <w:r>
        <w:rPr>
          <w:rFonts w:ascii="宋体" w:hAnsi="宋体"/>
          <w:sz w:val="24"/>
          <w:szCs w:val="24"/>
        </w:rPr>
        <w:t>1,475,111,351</w:t>
      </w:r>
      <w:r>
        <w:rPr>
          <w:rFonts w:ascii="宋体" w:hAnsi="宋体" w:hint="eastAsia"/>
          <w:sz w:val="24"/>
          <w:szCs w:val="24"/>
        </w:rPr>
        <w:t>股为基数，向全体股东每</w:t>
      </w:r>
      <w:r>
        <w:rPr>
          <w:rFonts w:ascii="宋体" w:hAnsi="宋体"/>
          <w:sz w:val="24"/>
          <w:szCs w:val="24"/>
        </w:rPr>
        <w:t>10</w:t>
      </w:r>
      <w:r>
        <w:rPr>
          <w:rFonts w:ascii="宋体" w:hAnsi="宋体" w:hint="eastAsia"/>
          <w:sz w:val="24"/>
          <w:szCs w:val="24"/>
        </w:rPr>
        <w:t>股派发现金红利</w:t>
      </w:r>
      <w:r>
        <w:rPr>
          <w:rFonts w:ascii="宋体" w:hAnsi="宋体"/>
          <w:sz w:val="24"/>
          <w:szCs w:val="24"/>
        </w:rPr>
        <w:t>2.2</w:t>
      </w:r>
      <w:r>
        <w:rPr>
          <w:rFonts w:ascii="宋体" w:hAnsi="宋体" w:hint="eastAsia"/>
          <w:sz w:val="24"/>
          <w:szCs w:val="24"/>
        </w:rPr>
        <w:t>元（含税），送红股</w:t>
      </w:r>
      <w:r>
        <w:rPr>
          <w:rFonts w:ascii="宋体"/>
          <w:sz w:val="24"/>
          <w:szCs w:val="24"/>
        </w:rPr>
        <w:t>0</w:t>
      </w:r>
      <w:r>
        <w:rPr>
          <w:rFonts w:ascii="宋体" w:hAnsi="宋体" w:hint="eastAsia"/>
          <w:sz w:val="24"/>
          <w:szCs w:val="24"/>
        </w:rPr>
        <w:t>股（含税），不以公积金转增股本。</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董事会决议通过的本报告期优先股利润分配预案</w:t>
      </w:r>
    </w:p>
    <w:p w:rsidR="00AB3AEE" w:rsidRDefault="008D0794">
      <w:pPr>
        <w:spacing w:before="0" w:after="0" w:line="360" w:lineRule="auto"/>
        <w:ind w:firstLineChars="200" w:firstLine="480"/>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AB3AEE" w:rsidRDefault="008D0794">
      <w:pPr>
        <w:pStyle w:val="Chapter"/>
        <w:spacing w:before="0" w:after="0" w:line="360" w:lineRule="auto"/>
        <w:outlineLvl w:val="1"/>
        <w:rPr>
          <w:rFonts w:ascii="宋体"/>
        </w:rPr>
      </w:pPr>
      <w:r>
        <w:rPr>
          <w:rFonts w:ascii="宋体" w:hAnsi="宋体" w:hint="eastAsia"/>
        </w:rPr>
        <w:t>二、公司基本情况</w:t>
      </w:r>
    </w:p>
    <w:p w:rsidR="00AB3AEE" w:rsidRDefault="008D0794">
      <w:pPr>
        <w:pStyle w:val="Chapter"/>
        <w:spacing w:before="0" w:after="0" w:line="360" w:lineRule="auto"/>
        <w:outlineLvl w:val="1"/>
        <w:rPr>
          <w:rFonts w:ascii="宋体"/>
        </w:rPr>
      </w:pPr>
      <w:r>
        <w:rPr>
          <w:rFonts w:ascii="宋体" w:hAnsi="宋体"/>
        </w:rPr>
        <w:t>1</w:t>
      </w:r>
      <w:r>
        <w:rPr>
          <w:rFonts w:ascii="宋体" w:hAnsi="宋体" w:hint="eastAsia"/>
        </w:rPr>
        <w:t>、公司简介</w:t>
      </w:r>
    </w:p>
    <w:tbl>
      <w:tblPr>
        <w:tblW w:w="0" w:type="auto"/>
        <w:jc w:val="center"/>
        <w:tblLayout w:type="fixed"/>
        <w:tblLook w:val="0000" w:firstRow="0" w:lastRow="0" w:firstColumn="0" w:lastColumn="0" w:noHBand="0" w:noVBand="0"/>
      </w:tblPr>
      <w:tblGrid>
        <w:gridCol w:w="2896"/>
        <w:gridCol w:w="2195"/>
        <w:gridCol w:w="2177"/>
        <w:gridCol w:w="2299"/>
      </w:tblGrid>
      <w:tr w:rsidR="00AB3AEE">
        <w:trPr>
          <w:jc w:val="center"/>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股票简称</w:t>
            </w:r>
          </w:p>
        </w:tc>
        <w:tc>
          <w:tcPr>
            <w:tcW w:w="2195" w:type="dxa"/>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中山公用</w:t>
            </w:r>
          </w:p>
        </w:tc>
        <w:tc>
          <w:tcPr>
            <w:tcW w:w="2177"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股票代码</w:t>
            </w:r>
          </w:p>
        </w:tc>
        <w:tc>
          <w:tcPr>
            <w:tcW w:w="2299" w:type="dxa"/>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hAnsi="宋体"/>
                <w:sz w:val="21"/>
                <w:szCs w:val="21"/>
              </w:rPr>
            </w:pPr>
            <w:r>
              <w:rPr>
                <w:rFonts w:ascii="宋体" w:hAnsi="宋体"/>
                <w:sz w:val="21"/>
                <w:szCs w:val="21"/>
              </w:rPr>
              <w:t>000685</w:t>
            </w:r>
          </w:p>
        </w:tc>
      </w:tr>
      <w:tr w:rsidR="00AB3AEE">
        <w:trPr>
          <w:jc w:val="center"/>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股票上市交易所</w:t>
            </w:r>
          </w:p>
        </w:tc>
        <w:tc>
          <w:tcPr>
            <w:tcW w:w="667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深圳证券交易所</w:t>
            </w:r>
          </w:p>
        </w:tc>
      </w:tr>
      <w:tr w:rsidR="00AB3AEE">
        <w:trPr>
          <w:jc w:val="center"/>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联系人和联系方式</w:t>
            </w:r>
          </w:p>
        </w:tc>
        <w:tc>
          <w:tcPr>
            <w:tcW w:w="6671" w:type="dxa"/>
            <w:gridSpan w:val="3"/>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董事会秘书（代）</w:t>
            </w:r>
          </w:p>
        </w:tc>
      </w:tr>
      <w:tr w:rsidR="00AB3AEE">
        <w:trPr>
          <w:jc w:val="center"/>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姓名</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何清</w:t>
            </w:r>
          </w:p>
        </w:tc>
      </w:tr>
      <w:tr w:rsidR="00AB3AEE">
        <w:trPr>
          <w:jc w:val="center"/>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办公地址</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广东省中山市兴中道</w:t>
            </w:r>
            <w:r>
              <w:rPr>
                <w:rFonts w:ascii="宋体" w:hAnsi="宋体"/>
                <w:sz w:val="21"/>
                <w:szCs w:val="21"/>
              </w:rPr>
              <w:t>18</w:t>
            </w:r>
            <w:r>
              <w:rPr>
                <w:rFonts w:ascii="宋体" w:hAnsi="宋体" w:hint="eastAsia"/>
                <w:sz w:val="21"/>
                <w:szCs w:val="21"/>
              </w:rPr>
              <w:t>号财兴大厦北座</w:t>
            </w:r>
          </w:p>
        </w:tc>
      </w:tr>
      <w:tr w:rsidR="00AB3AEE">
        <w:trPr>
          <w:jc w:val="center"/>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传真</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hAnsi="宋体"/>
                <w:sz w:val="21"/>
                <w:szCs w:val="21"/>
              </w:rPr>
            </w:pPr>
            <w:r>
              <w:rPr>
                <w:rFonts w:ascii="宋体" w:hAnsi="宋体"/>
                <w:sz w:val="21"/>
                <w:szCs w:val="21"/>
              </w:rPr>
              <w:t>0760-88380011</w:t>
            </w:r>
          </w:p>
        </w:tc>
      </w:tr>
      <w:tr w:rsidR="00AB3AEE">
        <w:trPr>
          <w:jc w:val="center"/>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电话</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hAnsi="宋体"/>
                <w:sz w:val="21"/>
                <w:szCs w:val="21"/>
              </w:rPr>
            </w:pPr>
            <w:r>
              <w:rPr>
                <w:rFonts w:ascii="宋体" w:hAnsi="宋体"/>
                <w:sz w:val="21"/>
                <w:szCs w:val="21"/>
              </w:rPr>
              <w:t>0760-88380008</w:t>
            </w:r>
          </w:p>
        </w:tc>
      </w:tr>
      <w:tr w:rsidR="00AB3AEE">
        <w:trPr>
          <w:jc w:val="center"/>
        </w:trPr>
        <w:tc>
          <w:tcPr>
            <w:tcW w:w="2896"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电子信箱</w:t>
            </w:r>
          </w:p>
        </w:tc>
        <w:tc>
          <w:tcPr>
            <w:tcW w:w="6671" w:type="dxa"/>
            <w:gridSpan w:val="3"/>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hAnsi="宋体"/>
                <w:sz w:val="21"/>
                <w:szCs w:val="21"/>
              </w:rPr>
            </w:pPr>
            <w:r>
              <w:rPr>
                <w:rFonts w:ascii="宋体" w:hAnsi="宋体"/>
                <w:sz w:val="21"/>
                <w:szCs w:val="21"/>
              </w:rPr>
              <w:t>heqing@zpug.net</w:t>
            </w:r>
          </w:p>
        </w:tc>
      </w:tr>
    </w:tbl>
    <w:p w:rsidR="00AB3AEE" w:rsidRDefault="008D0794">
      <w:pPr>
        <w:pStyle w:val="Chapter"/>
        <w:spacing w:before="0" w:after="0" w:line="360" w:lineRule="auto"/>
        <w:outlineLvl w:val="1"/>
        <w:rPr>
          <w:rFonts w:ascii="宋体"/>
        </w:rPr>
      </w:pPr>
      <w:r>
        <w:rPr>
          <w:rFonts w:ascii="宋体" w:hAnsi="宋体"/>
        </w:rPr>
        <w:lastRenderedPageBreak/>
        <w:t>2</w:t>
      </w:r>
      <w:r>
        <w:rPr>
          <w:rFonts w:ascii="宋体" w:hAnsi="宋体" w:hint="eastAsia"/>
        </w:rPr>
        <w:t>、报告期主要业务或产品简介</w:t>
      </w:r>
    </w:p>
    <w:p w:rsidR="00AB3AEE" w:rsidRDefault="008D0794">
      <w:pPr>
        <w:autoSpaceDE w:val="0"/>
        <w:autoSpaceDN w:val="0"/>
        <w:adjustRightInd w:val="0"/>
        <w:spacing w:before="0" w:after="0" w:line="360" w:lineRule="auto"/>
        <w:ind w:firstLine="480"/>
        <w:rPr>
          <w:rFonts w:ascii="宋体"/>
          <w:sz w:val="24"/>
          <w:szCs w:val="24"/>
          <w:lang w:val="zh-CN"/>
        </w:rPr>
      </w:pPr>
      <w:r>
        <w:rPr>
          <w:rFonts w:ascii="宋体" w:hAnsi="宋体" w:hint="eastAsia"/>
          <w:sz w:val="24"/>
          <w:szCs w:val="24"/>
          <w:lang w:val="zh-CN"/>
        </w:rPr>
        <w:t>公司从事的主要业务包括环保水务、固废处理、工程建设、市场运营、港口客运、金融服务与股权投资等领域，拥有</w:t>
      </w:r>
      <w:r>
        <w:rPr>
          <w:rFonts w:ascii="宋体" w:hAnsi="宋体"/>
          <w:sz w:val="24"/>
          <w:szCs w:val="24"/>
          <w:lang w:val="zh-CN"/>
        </w:rPr>
        <w:t>33</w:t>
      </w:r>
      <w:r>
        <w:rPr>
          <w:rFonts w:ascii="宋体" w:hAnsi="宋体" w:hint="eastAsia"/>
          <w:sz w:val="24"/>
          <w:szCs w:val="24"/>
          <w:lang w:val="zh-CN"/>
        </w:rPr>
        <w:t>家分子公司，参股公司包括广发证券、中海广东、中山银达担保等</w:t>
      </w:r>
      <w:r>
        <w:rPr>
          <w:rFonts w:ascii="宋体" w:hAnsi="宋体"/>
          <w:sz w:val="24"/>
          <w:szCs w:val="24"/>
          <w:lang w:val="zh-CN"/>
        </w:rPr>
        <w:t>11</w:t>
      </w:r>
      <w:r>
        <w:rPr>
          <w:rFonts w:ascii="宋体" w:hAnsi="宋体" w:hint="eastAsia"/>
          <w:sz w:val="24"/>
          <w:szCs w:val="24"/>
          <w:lang w:val="zh-CN"/>
        </w:rPr>
        <w:t>家公司。</w:t>
      </w:r>
    </w:p>
    <w:p w:rsidR="00AB3AEE" w:rsidRDefault="008D0794">
      <w:pPr>
        <w:autoSpaceDE w:val="0"/>
        <w:autoSpaceDN w:val="0"/>
        <w:adjustRightInd w:val="0"/>
        <w:spacing w:before="0" w:after="0" w:line="360" w:lineRule="auto"/>
        <w:ind w:firstLine="482"/>
        <w:rPr>
          <w:rFonts w:ascii="宋体"/>
          <w:b/>
          <w:bCs/>
          <w:sz w:val="24"/>
          <w:szCs w:val="24"/>
          <w:lang w:val="zh-CN"/>
        </w:rPr>
      </w:pPr>
      <w:r>
        <w:rPr>
          <w:rFonts w:ascii="宋体" w:hAnsi="宋体" w:hint="eastAsia"/>
          <w:b/>
          <w:bCs/>
          <w:sz w:val="24"/>
          <w:szCs w:val="24"/>
          <w:lang w:val="zh-CN"/>
        </w:rPr>
        <w:t>（</w:t>
      </w:r>
      <w:r>
        <w:rPr>
          <w:rFonts w:ascii="宋体" w:hAnsi="宋体"/>
          <w:b/>
          <w:bCs/>
          <w:sz w:val="24"/>
          <w:szCs w:val="24"/>
          <w:lang w:val="zh-CN"/>
        </w:rPr>
        <w:t>1</w:t>
      </w:r>
      <w:r>
        <w:rPr>
          <w:rFonts w:ascii="宋体" w:hAnsi="宋体" w:hint="eastAsia"/>
          <w:b/>
          <w:bCs/>
          <w:sz w:val="24"/>
          <w:szCs w:val="24"/>
          <w:lang w:val="zh-CN"/>
        </w:rPr>
        <w:t>）环保水务</w:t>
      </w:r>
    </w:p>
    <w:p w:rsidR="00AB3AEE" w:rsidRDefault="008D0794">
      <w:pPr>
        <w:autoSpaceDE w:val="0"/>
        <w:autoSpaceDN w:val="0"/>
        <w:adjustRightInd w:val="0"/>
        <w:spacing w:before="0" w:after="0" w:line="360" w:lineRule="auto"/>
        <w:ind w:firstLine="480"/>
        <w:rPr>
          <w:rFonts w:ascii="宋体"/>
          <w:sz w:val="24"/>
          <w:szCs w:val="24"/>
          <w:lang w:val="zh-CN"/>
        </w:rPr>
      </w:pPr>
      <w:r>
        <w:rPr>
          <w:rFonts w:ascii="宋体" w:hAnsi="宋体" w:hint="eastAsia"/>
          <w:sz w:val="24"/>
          <w:szCs w:val="24"/>
          <w:lang w:val="zh-CN"/>
        </w:rPr>
        <w:t>水务运营板块，已形成以城市供水和污水处理为主，涵盖水质监测、信息技术、水处理技术研发等领域的水务运营管理模式。旗下拥有中山公用水务有限公司、中山市污水处理有限公司等</w:t>
      </w:r>
      <w:r>
        <w:rPr>
          <w:rFonts w:ascii="宋体" w:hAnsi="宋体"/>
          <w:sz w:val="24"/>
          <w:szCs w:val="24"/>
          <w:lang w:val="zh-CN"/>
        </w:rPr>
        <w:t>13</w:t>
      </w:r>
      <w:r>
        <w:rPr>
          <w:rFonts w:ascii="宋体" w:hAnsi="宋体" w:hint="eastAsia"/>
          <w:sz w:val="24"/>
          <w:szCs w:val="24"/>
          <w:lang w:val="zh-CN"/>
        </w:rPr>
        <w:t>家全资子公司，控股、参股从事水务业务的</w:t>
      </w:r>
      <w:r>
        <w:rPr>
          <w:rFonts w:ascii="宋体" w:hAnsi="宋体"/>
          <w:sz w:val="24"/>
          <w:szCs w:val="24"/>
          <w:lang w:val="zh-CN"/>
        </w:rPr>
        <w:t>9</w:t>
      </w:r>
      <w:r>
        <w:rPr>
          <w:rFonts w:ascii="宋体" w:hAnsi="宋体" w:hint="eastAsia"/>
          <w:sz w:val="24"/>
          <w:szCs w:val="24"/>
          <w:lang w:val="zh-CN"/>
        </w:rPr>
        <w:t>家公司和</w:t>
      </w:r>
      <w:r>
        <w:rPr>
          <w:rFonts w:ascii="宋体" w:hAnsi="宋体"/>
          <w:sz w:val="24"/>
          <w:szCs w:val="24"/>
          <w:lang w:val="zh-CN"/>
        </w:rPr>
        <w:t>2</w:t>
      </w:r>
      <w:r>
        <w:rPr>
          <w:rFonts w:ascii="宋体" w:hAnsi="宋体" w:hint="eastAsia"/>
          <w:sz w:val="24"/>
          <w:szCs w:val="24"/>
          <w:lang w:val="zh-CN"/>
        </w:rPr>
        <w:t>家中外合作公司，托管运营</w:t>
      </w:r>
      <w:r>
        <w:rPr>
          <w:rFonts w:ascii="宋体" w:hAnsi="宋体"/>
          <w:sz w:val="24"/>
          <w:szCs w:val="24"/>
          <w:lang w:val="zh-CN"/>
        </w:rPr>
        <w:t>2</w:t>
      </w:r>
      <w:r>
        <w:rPr>
          <w:rFonts w:ascii="宋体" w:hAnsi="宋体" w:hint="eastAsia"/>
          <w:sz w:val="24"/>
          <w:szCs w:val="24"/>
          <w:lang w:val="zh-CN"/>
        </w:rPr>
        <w:t>家污水处理厂。设计日供水能力达</w:t>
      </w:r>
      <w:r>
        <w:rPr>
          <w:rFonts w:ascii="宋体" w:hAnsi="宋体"/>
          <w:sz w:val="24"/>
          <w:szCs w:val="24"/>
          <w:lang w:val="zh-CN"/>
        </w:rPr>
        <w:t>238</w:t>
      </w:r>
      <w:r>
        <w:rPr>
          <w:rFonts w:ascii="宋体" w:hAnsi="宋体" w:hint="eastAsia"/>
          <w:sz w:val="24"/>
          <w:szCs w:val="24"/>
          <w:lang w:val="zh-CN"/>
        </w:rPr>
        <w:t>万立方米，设计日污水处理能力达</w:t>
      </w:r>
      <w:r>
        <w:rPr>
          <w:rFonts w:ascii="宋体" w:hAnsi="宋体"/>
          <w:sz w:val="24"/>
          <w:szCs w:val="24"/>
          <w:lang w:val="zh-CN"/>
        </w:rPr>
        <w:t>58</w:t>
      </w:r>
      <w:r>
        <w:rPr>
          <w:rFonts w:ascii="宋体" w:hAnsi="宋体" w:hint="eastAsia"/>
          <w:sz w:val="24"/>
          <w:szCs w:val="24"/>
          <w:lang w:val="zh-CN"/>
        </w:rPr>
        <w:t>万立方米；供水管道长度达</w:t>
      </w:r>
      <w:r>
        <w:rPr>
          <w:rFonts w:ascii="宋体" w:hAnsi="宋体"/>
          <w:sz w:val="24"/>
          <w:szCs w:val="24"/>
          <w:lang w:val="zh-CN"/>
        </w:rPr>
        <w:t>5,400</w:t>
      </w:r>
      <w:r>
        <w:rPr>
          <w:rFonts w:ascii="宋体" w:hAnsi="宋体" w:hint="eastAsia"/>
          <w:sz w:val="24"/>
          <w:szCs w:val="24"/>
          <w:lang w:val="zh-CN"/>
        </w:rPr>
        <w:t>公里，覆盖面积超</w:t>
      </w:r>
      <w:r>
        <w:rPr>
          <w:rFonts w:ascii="宋体" w:hAnsi="宋体"/>
          <w:sz w:val="24"/>
          <w:szCs w:val="24"/>
          <w:lang w:val="zh-CN"/>
        </w:rPr>
        <w:t>2,000</w:t>
      </w:r>
      <w:r>
        <w:rPr>
          <w:rFonts w:ascii="宋体" w:hAnsi="宋体" w:hint="eastAsia"/>
          <w:sz w:val="24"/>
          <w:szCs w:val="24"/>
          <w:lang w:val="zh-CN"/>
        </w:rPr>
        <w:t>平方公里。公司供水总量约占中山市的</w:t>
      </w:r>
      <w:r>
        <w:rPr>
          <w:rFonts w:ascii="宋体" w:hAnsi="宋体"/>
          <w:sz w:val="24"/>
          <w:szCs w:val="24"/>
          <w:lang w:val="zh-CN"/>
        </w:rPr>
        <w:t>80%</w:t>
      </w:r>
      <w:r>
        <w:rPr>
          <w:rFonts w:ascii="宋体" w:hAnsi="宋体" w:hint="eastAsia"/>
          <w:sz w:val="24"/>
          <w:szCs w:val="24"/>
          <w:lang w:val="zh-CN"/>
        </w:rPr>
        <w:t>，污水处理总量约占中山市的</w:t>
      </w:r>
      <w:r>
        <w:rPr>
          <w:rFonts w:ascii="宋体" w:hAnsi="宋体"/>
          <w:sz w:val="24"/>
          <w:szCs w:val="24"/>
          <w:lang w:val="zh-CN"/>
        </w:rPr>
        <w:t>35%</w:t>
      </w:r>
      <w:r>
        <w:rPr>
          <w:rFonts w:ascii="宋体" w:hAnsi="宋体" w:hint="eastAsia"/>
          <w:sz w:val="24"/>
          <w:szCs w:val="24"/>
          <w:lang w:val="zh-CN"/>
        </w:rPr>
        <w:t>。</w:t>
      </w:r>
    </w:p>
    <w:p w:rsidR="00AB3AEE" w:rsidRDefault="008D0794">
      <w:pPr>
        <w:autoSpaceDE w:val="0"/>
        <w:autoSpaceDN w:val="0"/>
        <w:adjustRightInd w:val="0"/>
        <w:spacing w:before="0" w:after="0" w:line="360" w:lineRule="auto"/>
        <w:ind w:firstLine="482"/>
        <w:rPr>
          <w:rFonts w:ascii="宋体"/>
          <w:b/>
          <w:bCs/>
          <w:sz w:val="24"/>
          <w:szCs w:val="24"/>
          <w:lang w:val="zh-CN"/>
        </w:rPr>
      </w:pPr>
      <w:r>
        <w:rPr>
          <w:rFonts w:ascii="宋体" w:hAnsi="宋体" w:hint="eastAsia"/>
          <w:b/>
          <w:bCs/>
          <w:sz w:val="24"/>
          <w:szCs w:val="24"/>
          <w:lang w:val="zh-CN"/>
        </w:rPr>
        <w:t>（</w:t>
      </w:r>
      <w:r>
        <w:rPr>
          <w:rFonts w:ascii="宋体" w:hAnsi="宋体"/>
          <w:b/>
          <w:bCs/>
          <w:sz w:val="24"/>
          <w:szCs w:val="24"/>
          <w:lang w:val="zh-CN"/>
        </w:rPr>
        <w:t>2</w:t>
      </w:r>
      <w:r>
        <w:rPr>
          <w:rFonts w:ascii="宋体" w:hAnsi="宋体" w:hint="eastAsia"/>
          <w:b/>
          <w:bCs/>
          <w:sz w:val="24"/>
          <w:szCs w:val="24"/>
          <w:lang w:val="zh-CN"/>
        </w:rPr>
        <w:t>）固废处理</w:t>
      </w:r>
    </w:p>
    <w:p w:rsidR="00AB3AEE" w:rsidRDefault="008D0794">
      <w:pPr>
        <w:autoSpaceDE w:val="0"/>
        <w:autoSpaceDN w:val="0"/>
        <w:adjustRightInd w:val="0"/>
        <w:spacing w:before="0" w:after="0" w:line="360" w:lineRule="auto"/>
        <w:ind w:firstLine="480"/>
        <w:rPr>
          <w:rFonts w:ascii="宋体"/>
          <w:sz w:val="24"/>
          <w:szCs w:val="24"/>
          <w:lang w:val="zh-CN"/>
        </w:rPr>
      </w:pPr>
      <w:r>
        <w:rPr>
          <w:rFonts w:ascii="宋体" w:hAnsi="宋体" w:hint="eastAsia"/>
          <w:sz w:val="24"/>
          <w:szCs w:val="24"/>
          <w:lang w:val="zh-CN"/>
        </w:rPr>
        <w:t>公司旗下的天乙能源项目拥有特许经营垃圾焚烧处理发电和垃圾渗滤液处理资质，为中山市三大垃圾综合处理组团基地之一，属广东省重点工程项目、中山市重点民生工程项目。项目一、二期工程占地面积约</w:t>
      </w:r>
      <w:r>
        <w:rPr>
          <w:rFonts w:ascii="宋体" w:hAnsi="宋体"/>
          <w:sz w:val="24"/>
          <w:szCs w:val="24"/>
          <w:lang w:val="zh-CN"/>
        </w:rPr>
        <w:t>8</w:t>
      </w:r>
      <w:r>
        <w:rPr>
          <w:rFonts w:ascii="宋体" w:hAnsi="宋体" w:hint="eastAsia"/>
          <w:sz w:val="24"/>
          <w:szCs w:val="24"/>
          <w:lang w:val="zh-CN"/>
        </w:rPr>
        <w:t>万平方米，垃圾处理能力约</w:t>
      </w:r>
      <w:r>
        <w:rPr>
          <w:rFonts w:ascii="宋体" w:hAnsi="宋体"/>
          <w:sz w:val="24"/>
          <w:szCs w:val="24"/>
          <w:lang w:val="zh-CN"/>
        </w:rPr>
        <w:t>970</w:t>
      </w:r>
      <w:r>
        <w:rPr>
          <w:rFonts w:ascii="宋体" w:hAnsi="宋体" w:hint="eastAsia"/>
          <w:sz w:val="24"/>
          <w:szCs w:val="24"/>
          <w:lang w:val="zh-CN"/>
        </w:rPr>
        <w:t>吨</w:t>
      </w:r>
      <w:r>
        <w:rPr>
          <w:rFonts w:ascii="宋体" w:hAnsi="宋体"/>
          <w:sz w:val="24"/>
          <w:szCs w:val="24"/>
          <w:lang w:val="zh-CN"/>
        </w:rPr>
        <w:t>/</w:t>
      </w:r>
      <w:r>
        <w:rPr>
          <w:rFonts w:ascii="宋体" w:hAnsi="宋体" w:hint="eastAsia"/>
          <w:sz w:val="24"/>
          <w:szCs w:val="24"/>
          <w:lang w:val="zh-CN"/>
        </w:rPr>
        <w:t>日，即将建设完成的三期工程占地面积约</w:t>
      </w:r>
      <w:r>
        <w:rPr>
          <w:rFonts w:ascii="宋体" w:hAnsi="宋体"/>
          <w:sz w:val="24"/>
          <w:szCs w:val="24"/>
          <w:lang w:val="zh-CN"/>
        </w:rPr>
        <w:t>5.6</w:t>
      </w:r>
      <w:r>
        <w:rPr>
          <w:rFonts w:ascii="宋体" w:hAnsi="宋体" w:hint="eastAsia"/>
          <w:sz w:val="24"/>
          <w:szCs w:val="24"/>
          <w:lang w:val="zh-CN"/>
        </w:rPr>
        <w:t>万平方米，垃圾处理能力约</w:t>
      </w:r>
      <w:r>
        <w:rPr>
          <w:rFonts w:ascii="宋体" w:hAnsi="宋体"/>
          <w:sz w:val="24"/>
          <w:szCs w:val="24"/>
          <w:lang w:val="zh-CN"/>
        </w:rPr>
        <w:t>1,200</w:t>
      </w:r>
      <w:r>
        <w:rPr>
          <w:rFonts w:ascii="宋体" w:hAnsi="宋体" w:hint="eastAsia"/>
          <w:sz w:val="24"/>
          <w:szCs w:val="24"/>
          <w:lang w:val="zh-CN"/>
        </w:rPr>
        <w:t>吨</w:t>
      </w:r>
      <w:r>
        <w:rPr>
          <w:rFonts w:ascii="宋体" w:hAnsi="宋体"/>
          <w:sz w:val="24"/>
          <w:szCs w:val="24"/>
          <w:lang w:val="zh-CN"/>
        </w:rPr>
        <w:t>/</w:t>
      </w:r>
      <w:r>
        <w:rPr>
          <w:rFonts w:ascii="宋体" w:hAnsi="宋体" w:hint="eastAsia"/>
          <w:sz w:val="24"/>
          <w:szCs w:val="24"/>
          <w:lang w:val="zh-CN"/>
        </w:rPr>
        <w:t>日。</w:t>
      </w:r>
    </w:p>
    <w:p w:rsidR="00AB3AEE" w:rsidRDefault="008D0794">
      <w:pPr>
        <w:autoSpaceDE w:val="0"/>
        <w:autoSpaceDN w:val="0"/>
        <w:adjustRightInd w:val="0"/>
        <w:spacing w:before="0" w:after="0" w:line="360" w:lineRule="auto"/>
        <w:ind w:firstLine="482"/>
        <w:rPr>
          <w:rFonts w:ascii="宋体"/>
          <w:b/>
          <w:bCs/>
          <w:sz w:val="24"/>
          <w:szCs w:val="24"/>
          <w:lang w:val="zh-CN"/>
        </w:rPr>
      </w:pPr>
      <w:r>
        <w:rPr>
          <w:rFonts w:ascii="宋体" w:hAnsi="宋体" w:hint="eastAsia"/>
          <w:b/>
          <w:bCs/>
          <w:sz w:val="24"/>
          <w:szCs w:val="24"/>
          <w:lang w:val="zh-CN"/>
        </w:rPr>
        <w:t>（</w:t>
      </w:r>
      <w:r>
        <w:rPr>
          <w:rFonts w:ascii="宋体" w:hAnsi="宋体"/>
          <w:b/>
          <w:bCs/>
          <w:sz w:val="24"/>
          <w:szCs w:val="24"/>
          <w:lang w:val="zh-CN"/>
        </w:rPr>
        <w:t>3</w:t>
      </w:r>
      <w:r>
        <w:rPr>
          <w:rFonts w:ascii="宋体" w:hAnsi="宋体" w:hint="eastAsia"/>
          <w:b/>
          <w:bCs/>
          <w:sz w:val="24"/>
          <w:szCs w:val="24"/>
          <w:lang w:val="zh-CN"/>
        </w:rPr>
        <w:t>）工程建设</w:t>
      </w:r>
    </w:p>
    <w:p w:rsidR="00AB3AEE" w:rsidRDefault="008D0794">
      <w:pPr>
        <w:autoSpaceDE w:val="0"/>
        <w:autoSpaceDN w:val="0"/>
        <w:adjustRightInd w:val="0"/>
        <w:spacing w:before="0" w:after="0" w:line="360" w:lineRule="auto"/>
        <w:ind w:firstLine="480"/>
        <w:rPr>
          <w:rFonts w:ascii="宋体"/>
          <w:sz w:val="24"/>
          <w:szCs w:val="24"/>
          <w:lang w:val="zh-CN"/>
        </w:rPr>
      </w:pPr>
      <w:r>
        <w:rPr>
          <w:rFonts w:ascii="宋体" w:hAnsi="宋体" w:hint="eastAsia"/>
          <w:sz w:val="24"/>
          <w:szCs w:val="24"/>
          <w:lang w:val="zh-CN"/>
        </w:rPr>
        <w:t>工程建设板块业务涵盖市政工程、建筑装修、机电消防、燃气管道以及供水管网建设等领域，拥有市政公用工程施工总承包壹级、建筑工程施工总承包叁级、建筑装修装饰工程专业承包贰级等多项资质，同时具备污水管网建设</w:t>
      </w:r>
      <w:r>
        <w:rPr>
          <w:rFonts w:ascii="宋体" w:hAnsi="宋体"/>
          <w:sz w:val="24"/>
          <w:szCs w:val="24"/>
          <w:lang w:val="zh-CN"/>
        </w:rPr>
        <w:t>PPP</w:t>
      </w:r>
      <w:r>
        <w:rPr>
          <w:rFonts w:ascii="宋体" w:hAnsi="宋体" w:hint="eastAsia"/>
          <w:sz w:val="24"/>
          <w:szCs w:val="24"/>
          <w:lang w:val="zh-CN"/>
        </w:rPr>
        <w:t>工程项目、黑臭水体治理</w:t>
      </w:r>
      <w:r>
        <w:rPr>
          <w:rFonts w:ascii="宋体" w:hAnsi="宋体"/>
          <w:sz w:val="24"/>
          <w:szCs w:val="24"/>
          <w:lang w:val="zh-CN"/>
        </w:rPr>
        <w:t>EPC+O</w:t>
      </w:r>
      <w:r>
        <w:rPr>
          <w:rFonts w:ascii="宋体" w:hAnsi="宋体" w:hint="eastAsia"/>
          <w:sz w:val="24"/>
          <w:szCs w:val="24"/>
          <w:lang w:val="zh-CN"/>
        </w:rPr>
        <w:t>工程项目、大型污水厂提标改造等工程施工技术与建设管理经验。</w:t>
      </w:r>
    </w:p>
    <w:p w:rsidR="00AB3AEE" w:rsidRDefault="008D0794">
      <w:pPr>
        <w:autoSpaceDE w:val="0"/>
        <w:autoSpaceDN w:val="0"/>
        <w:adjustRightInd w:val="0"/>
        <w:spacing w:before="0" w:after="0" w:line="360" w:lineRule="auto"/>
        <w:ind w:firstLine="482"/>
        <w:rPr>
          <w:rFonts w:ascii="宋体"/>
          <w:b/>
          <w:bCs/>
          <w:sz w:val="24"/>
          <w:szCs w:val="24"/>
          <w:lang w:val="zh-CN"/>
        </w:rPr>
      </w:pPr>
      <w:r>
        <w:rPr>
          <w:rFonts w:ascii="宋体" w:hAnsi="宋体" w:hint="eastAsia"/>
          <w:b/>
          <w:bCs/>
          <w:sz w:val="24"/>
          <w:szCs w:val="24"/>
          <w:lang w:val="zh-CN"/>
        </w:rPr>
        <w:t>（</w:t>
      </w:r>
      <w:r>
        <w:rPr>
          <w:rFonts w:ascii="宋体" w:hAnsi="宋体"/>
          <w:b/>
          <w:bCs/>
          <w:sz w:val="24"/>
          <w:szCs w:val="24"/>
          <w:lang w:val="zh-CN"/>
        </w:rPr>
        <w:t>4</w:t>
      </w:r>
      <w:r>
        <w:rPr>
          <w:rFonts w:ascii="宋体" w:hAnsi="宋体" w:hint="eastAsia"/>
          <w:b/>
          <w:bCs/>
          <w:sz w:val="24"/>
          <w:szCs w:val="24"/>
          <w:lang w:val="zh-CN"/>
        </w:rPr>
        <w:t>）市场运营</w:t>
      </w:r>
    </w:p>
    <w:p w:rsidR="00AB3AEE" w:rsidRDefault="008D0794">
      <w:pPr>
        <w:autoSpaceDE w:val="0"/>
        <w:autoSpaceDN w:val="0"/>
        <w:adjustRightInd w:val="0"/>
        <w:spacing w:before="0" w:after="0" w:line="360" w:lineRule="auto"/>
        <w:ind w:firstLine="480"/>
        <w:rPr>
          <w:rFonts w:ascii="宋体"/>
          <w:sz w:val="24"/>
          <w:szCs w:val="24"/>
          <w:lang w:val="zh-CN"/>
        </w:rPr>
      </w:pPr>
      <w:r>
        <w:rPr>
          <w:rFonts w:ascii="宋体" w:hAnsi="宋体" w:hint="eastAsia"/>
          <w:sz w:val="24"/>
          <w:szCs w:val="24"/>
          <w:lang w:val="zh-CN"/>
        </w:rPr>
        <w:t>市场运营业务板块拥有</w:t>
      </w:r>
      <w:r>
        <w:rPr>
          <w:rFonts w:ascii="宋体" w:hAnsi="宋体"/>
          <w:sz w:val="24"/>
          <w:szCs w:val="24"/>
          <w:lang w:val="zh-CN"/>
        </w:rPr>
        <w:t>33</w:t>
      </w:r>
      <w:r>
        <w:rPr>
          <w:rFonts w:ascii="宋体" w:hAnsi="宋体" w:hint="eastAsia"/>
          <w:sz w:val="24"/>
          <w:szCs w:val="24"/>
          <w:lang w:val="zh-CN"/>
        </w:rPr>
        <w:t>个农贸（批发）市场及商业体（含中山农产品交易中心、光明市场等</w:t>
      </w:r>
      <w:r>
        <w:rPr>
          <w:rFonts w:ascii="宋体" w:hAnsi="宋体"/>
          <w:sz w:val="24"/>
          <w:szCs w:val="24"/>
          <w:lang w:val="zh-CN"/>
        </w:rPr>
        <w:t>2</w:t>
      </w:r>
      <w:r>
        <w:rPr>
          <w:rFonts w:ascii="宋体" w:hAnsi="宋体" w:hint="eastAsia"/>
          <w:sz w:val="24"/>
          <w:szCs w:val="24"/>
          <w:lang w:val="zh-CN"/>
        </w:rPr>
        <w:t>个中山市规模最大的果菜、海鲜批发市场），总占地面积约</w:t>
      </w:r>
      <w:r>
        <w:rPr>
          <w:rFonts w:ascii="宋体" w:hAnsi="宋体"/>
          <w:sz w:val="24"/>
          <w:szCs w:val="24"/>
          <w:lang w:val="zh-CN"/>
        </w:rPr>
        <w:t>45</w:t>
      </w:r>
      <w:r>
        <w:rPr>
          <w:rFonts w:ascii="宋体" w:hAnsi="宋体" w:hint="eastAsia"/>
          <w:sz w:val="24"/>
          <w:szCs w:val="24"/>
          <w:lang w:val="zh-CN"/>
        </w:rPr>
        <w:t>万平方米，业务范围覆盖中山市城区及</w:t>
      </w:r>
      <w:r>
        <w:rPr>
          <w:rFonts w:ascii="宋体" w:hAnsi="宋体"/>
          <w:sz w:val="24"/>
          <w:szCs w:val="24"/>
          <w:lang w:val="zh-CN"/>
        </w:rPr>
        <w:t>18</w:t>
      </w:r>
      <w:r>
        <w:rPr>
          <w:rFonts w:ascii="宋体" w:hAnsi="宋体" w:hint="eastAsia"/>
          <w:sz w:val="24"/>
          <w:szCs w:val="24"/>
          <w:lang w:val="zh-CN"/>
        </w:rPr>
        <w:t>个镇区，拥有商户数超</w:t>
      </w:r>
      <w:r>
        <w:rPr>
          <w:rFonts w:ascii="宋体" w:hAnsi="宋体"/>
          <w:sz w:val="24"/>
          <w:szCs w:val="24"/>
          <w:lang w:val="zh-CN"/>
        </w:rPr>
        <w:t>6,000</w:t>
      </w:r>
      <w:r>
        <w:rPr>
          <w:rFonts w:ascii="宋体" w:hAnsi="宋体" w:hint="eastAsia"/>
          <w:sz w:val="24"/>
          <w:szCs w:val="24"/>
          <w:lang w:val="zh-CN"/>
        </w:rPr>
        <w:t>个，是中山市最大的农贸市场集群。</w:t>
      </w:r>
      <w:r>
        <w:rPr>
          <w:rFonts w:ascii="宋体" w:hAnsi="宋体"/>
          <w:sz w:val="24"/>
          <w:szCs w:val="24"/>
          <w:lang w:val="zh-CN"/>
        </w:rPr>
        <w:t>2017</w:t>
      </w:r>
      <w:r>
        <w:rPr>
          <w:rFonts w:ascii="宋体" w:hAnsi="宋体" w:hint="eastAsia"/>
          <w:sz w:val="24"/>
          <w:szCs w:val="24"/>
          <w:lang w:val="zh-CN"/>
        </w:rPr>
        <w:t>年，中山公用市场通过了香港品质保证局（</w:t>
      </w:r>
      <w:r>
        <w:rPr>
          <w:rFonts w:ascii="宋体" w:hAnsi="宋体"/>
          <w:sz w:val="24"/>
          <w:szCs w:val="24"/>
          <w:lang w:val="zh-CN"/>
        </w:rPr>
        <w:t>HKQAA</w:t>
      </w:r>
      <w:r>
        <w:rPr>
          <w:rFonts w:ascii="宋体" w:hAnsi="宋体" w:hint="eastAsia"/>
          <w:sz w:val="24"/>
          <w:szCs w:val="24"/>
          <w:lang w:val="zh-CN"/>
        </w:rPr>
        <w:t>）</w:t>
      </w:r>
      <w:r>
        <w:rPr>
          <w:rFonts w:ascii="宋体" w:hAnsi="宋体"/>
          <w:sz w:val="24"/>
          <w:szCs w:val="24"/>
          <w:lang w:val="zh-CN"/>
        </w:rPr>
        <w:t>ISO9001</w:t>
      </w:r>
      <w:r>
        <w:rPr>
          <w:rFonts w:ascii="宋体" w:hAnsi="宋体" w:hint="eastAsia"/>
          <w:sz w:val="24"/>
          <w:szCs w:val="24"/>
          <w:lang w:val="zh-CN"/>
        </w:rPr>
        <w:t>品质管理和</w:t>
      </w:r>
      <w:r>
        <w:rPr>
          <w:rFonts w:ascii="宋体" w:hAnsi="宋体"/>
          <w:sz w:val="24"/>
          <w:szCs w:val="24"/>
          <w:lang w:val="zh-CN"/>
        </w:rPr>
        <w:t>ISO14001</w:t>
      </w:r>
      <w:r>
        <w:rPr>
          <w:rFonts w:ascii="宋体" w:hAnsi="宋体" w:hint="eastAsia"/>
          <w:sz w:val="24"/>
          <w:szCs w:val="24"/>
          <w:lang w:val="zh-CN"/>
        </w:rPr>
        <w:t>环境管理双体系复审认证，完善建立安全食品溯源体系，完成“智慧市场”试点的转型升级。同时，公司在配合当地政府“创文”、“创卫”、“创食安”等工作方面，发挥着重要作用和影响力。</w:t>
      </w:r>
    </w:p>
    <w:p w:rsidR="00AB3AEE" w:rsidRDefault="008D0794">
      <w:pPr>
        <w:autoSpaceDE w:val="0"/>
        <w:autoSpaceDN w:val="0"/>
        <w:adjustRightInd w:val="0"/>
        <w:spacing w:before="0" w:after="0" w:line="360" w:lineRule="auto"/>
        <w:ind w:firstLine="482"/>
        <w:rPr>
          <w:rFonts w:ascii="宋体"/>
          <w:sz w:val="24"/>
          <w:szCs w:val="24"/>
          <w:lang w:val="zh-CN"/>
        </w:rPr>
      </w:pPr>
      <w:r>
        <w:rPr>
          <w:rFonts w:ascii="宋体" w:hAnsi="宋体" w:hint="eastAsia"/>
          <w:b/>
          <w:bCs/>
          <w:sz w:val="24"/>
          <w:szCs w:val="24"/>
          <w:lang w:val="zh-CN"/>
        </w:rPr>
        <w:t>（</w:t>
      </w:r>
      <w:r>
        <w:rPr>
          <w:rFonts w:ascii="宋体" w:hAnsi="宋体"/>
          <w:b/>
          <w:bCs/>
          <w:sz w:val="24"/>
          <w:szCs w:val="24"/>
          <w:lang w:val="zh-CN"/>
        </w:rPr>
        <w:t>5</w:t>
      </w:r>
      <w:r>
        <w:rPr>
          <w:rFonts w:ascii="宋体" w:hAnsi="宋体" w:hint="eastAsia"/>
          <w:b/>
          <w:bCs/>
          <w:sz w:val="24"/>
          <w:szCs w:val="24"/>
          <w:lang w:val="zh-CN"/>
        </w:rPr>
        <w:t>）港口客运</w:t>
      </w:r>
    </w:p>
    <w:p w:rsidR="00AB3AEE" w:rsidRDefault="008D0794">
      <w:pPr>
        <w:autoSpaceDE w:val="0"/>
        <w:autoSpaceDN w:val="0"/>
        <w:adjustRightInd w:val="0"/>
        <w:spacing w:before="0" w:after="0" w:line="360" w:lineRule="auto"/>
        <w:ind w:firstLine="480"/>
        <w:rPr>
          <w:rFonts w:ascii="宋体"/>
          <w:sz w:val="24"/>
          <w:szCs w:val="24"/>
          <w:lang w:val="zh-CN"/>
        </w:rPr>
      </w:pPr>
      <w:r>
        <w:rPr>
          <w:rFonts w:ascii="宋体" w:hAnsi="宋体" w:hint="eastAsia"/>
          <w:sz w:val="24"/>
          <w:szCs w:val="24"/>
          <w:lang w:val="zh-CN"/>
        </w:rPr>
        <w:t>公司持有中港客运联营有限公司</w:t>
      </w:r>
      <w:r>
        <w:rPr>
          <w:rFonts w:ascii="宋体" w:hAnsi="宋体"/>
          <w:sz w:val="24"/>
          <w:szCs w:val="24"/>
          <w:lang w:val="zh-CN"/>
        </w:rPr>
        <w:t>60%</w:t>
      </w:r>
      <w:r>
        <w:rPr>
          <w:rFonts w:ascii="宋体" w:hAnsi="宋体" w:hint="eastAsia"/>
          <w:sz w:val="24"/>
          <w:szCs w:val="24"/>
          <w:lang w:val="zh-CN"/>
        </w:rPr>
        <w:t>股权，该公司主要从事中山至香港航线旅客水路运输</w:t>
      </w:r>
      <w:r>
        <w:rPr>
          <w:rFonts w:ascii="宋体" w:hAnsi="宋体" w:hint="eastAsia"/>
          <w:sz w:val="24"/>
          <w:szCs w:val="24"/>
          <w:lang w:val="zh-CN"/>
        </w:rPr>
        <w:lastRenderedPageBreak/>
        <w:t>业务，拥有</w:t>
      </w:r>
      <w:r>
        <w:rPr>
          <w:rFonts w:ascii="宋体" w:hAnsi="宋体"/>
          <w:sz w:val="24"/>
          <w:szCs w:val="24"/>
          <w:lang w:val="zh-CN"/>
        </w:rPr>
        <w:t>5</w:t>
      </w:r>
      <w:r>
        <w:rPr>
          <w:rFonts w:ascii="宋体" w:hAnsi="宋体" w:hint="eastAsia"/>
          <w:sz w:val="24"/>
          <w:szCs w:val="24"/>
          <w:lang w:val="zh-CN"/>
        </w:rPr>
        <w:t>艘具现代化设备的豪华高速双体客轮，年客运量超过</w:t>
      </w:r>
      <w:r>
        <w:rPr>
          <w:rFonts w:ascii="宋体" w:hAnsi="宋体"/>
          <w:sz w:val="24"/>
          <w:szCs w:val="24"/>
          <w:lang w:val="zh-CN"/>
        </w:rPr>
        <w:t>120</w:t>
      </w:r>
      <w:r>
        <w:rPr>
          <w:rFonts w:ascii="宋体" w:hAnsi="宋体" w:hint="eastAsia"/>
          <w:sz w:val="24"/>
          <w:szCs w:val="24"/>
          <w:lang w:val="zh-CN"/>
        </w:rPr>
        <w:t>万人次。</w:t>
      </w:r>
      <w:r>
        <w:rPr>
          <w:rFonts w:ascii="宋体" w:hAnsi="宋体"/>
          <w:sz w:val="24"/>
          <w:szCs w:val="24"/>
          <w:lang w:val="zh-CN"/>
        </w:rPr>
        <w:t>2017</w:t>
      </w:r>
      <w:r>
        <w:rPr>
          <w:rFonts w:ascii="宋体" w:hAnsi="宋体" w:hint="eastAsia"/>
          <w:sz w:val="24"/>
          <w:szCs w:val="24"/>
          <w:lang w:val="zh-CN"/>
        </w:rPr>
        <w:t>年</w:t>
      </w:r>
      <w:r>
        <w:rPr>
          <w:rFonts w:ascii="宋体" w:hAnsi="宋体"/>
          <w:sz w:val="24"/>
          <w:szCs w:val="24"/>
          <w:lang w:val="zh-CN"/>
        </w:rPr>
        <w:t>8</w:t>
      </w:r>
      <w:r>
        <w:rPr>
          <w:rFonts w:ascii="宋体" w:hAnsi="宋体" w:hint="eastAsia"/>
          <w:sz w:val="24"/>
          <w:szCs w:val="24"/>
          <w:lang w:val="zh-CN"/>
        </w:rPr>
        <w:t>月，中港客运正式开通了中山至深圳航线，翻开了两地水上客运的新篇章。</w:t>
      </w:r>
    </w:p>
    <w:p w:rsidR="00AB3AEE" w:rsidRDefault="008D0794">
      <w:pPr>
        <w:autoSpaceDE w:val="0"/>
        <w:autoSpaceDN w:val="0"/>
        <w:adjustRightInd w:val="0"/>
        <w:spacing w:before="0" w:after="0" w:line="360" w:lineRule="auto"/>
        <w:ind w:firstLine="482"/>
        <w:rPr>
          <w:rFonts w:ascii="宋体"/>
          <w:b/>
          <w:bCs/>
          <w:sz w:val="24"/>
          <w:szCs w:val="24"/>
          <w:lang w:val="zh-CN"/>
        </w:rPr>
      </w:pPr>
      <w:r>
        <w:rPr>
          <w:rFonts w:ascii="宋体" w:hAnsi="宋体" w:hint="eastAsia"/>
          <w:b/>
          <w:bCs/>
          <w:sz w:val="24"/>
          <w:szCs w:val="24"/>
          <w:lang w:val="zh-CN"/>
        </w:rPr>
        <w:t>（</w:t>
      </w:r>
      <w:r>
        <w:rPr>
          <w:rFonts w:ascii="宋体" w:hAnsi="宋体"/>
          <w:b/>
          <w:bCs/>
          <w:sz w:val="24"/>
          <w:szCs w:val="24"/>
          <w:lang w:val="zh-CN"/>
        </w:rPr>
        <w:t>6</w:t>
      </w:r>
      <w:r>
        <w:rPr>
          <w:rFonts w:ascii="宋体" w:hAnsi="宋体" w:hint="eastAsia"/>
          <w:b/>
          <w:bCs/>
          <w:sz w:val="24"/>
          <w:szCs w:val="24"/>
          <w:lang w:val="zh-CN"/>
        </w:rPr>
        <w:t>）对外投资</w:t>
      </w:r>
    </w:p>
    <w:p w:rsidR="00AB3AEE" w:rsidRDefault="008D0794">
      <w:pPr>
        <w:autoSpaceDE w:val="0"/>
        <w:autoSpaceDN w:val="0"/>
        <w:adjustRightInd w:val="0"/>
        <w:spacing w:before="0" w:after="0" w:line="360" w:lineRule="auto"/>
        <w:ind w:firstLine="480"/>
        <w:rPr>
          <w:rFonts w:ascii="宋体"/>
          <w:sz w:val="24"/>
          <w:szCs w:val="24"/>
          <w:lang w:val="zh-CN"/>
        </w:rPr>
      </w:pPr>
      <w:r>
        <w:rPr>
          <w:rFonts w:ascii="宋体" w:hAnsi="宋体" w:hint="eastAsia"/>
          <w:sz w:val="24"/>
          <w:szCs w:val="24"/>
          <w:lang w:val="zh-CN"/>
        </w:rPr>
        <w:t>作为广发证券第三大股东，公司与广发证券形成了良好的战略合作关系。近年来，公司成立了公用环保公司、公用国际（香港）公司，与广发信德合作设立了环保并购基金，积极搭建战略协同的投融资体系，推动实现产业资源与金融资本的良性互动。围绕新的战略发展目标，公司积极加大对外投资步伐，争取实现产业拓展延伸，聚焦环保水务主业，以水环境治理、污水处理、供水项目为主，固废处理项目为辅，重点跟进的项目类型涉及新建</w:t>
      </w:r>
      <w:r>
        <w:rPr>
          <w:rFonts w:ascii="宋体" w:hAnsi="宋体"/>
          <w:sz w:val="24"/>
          <w:szCs w:val="24"/>
          <w:lang w:val="zh-CN"/>
        </w:rPr>
        <w:t>PPP</w:t>
      </w:r>
      <w:r>
        <w:rPr>
          <w:rFonts w:ascii="宋体" w:hAnsi="宋体" w:hint="eastAsia"/>
          <w:sz w:val="24"/>
          <w:szCs w:val="24"/>
          <w:lang w:val="zh-CN"/>
        </w:rPr>
        <w:t>项目、存量收购项目以及股权投资项目。</w:t>
      </w:r>
    </w:p>
    <w:p w:rsidR="00AB3AEE" w:rsidRDefault="008D0794">
      <w:pPr>
        <w:pStyle w:val="Chapter"/>
        <w:spacing w:before="0" w:after="0" w:line="360" w:lineRule="auto"/>
        <w:outlineLvl w:val="1"/>
        <w:rPr>
          <w:rFonts w:ascii="宋体"/>
        </w:rPr>
      </w:pPr>
      <w:r>
        <w:rPr>
          <w:rFonts w:ascii="宋体" w:hAnsi="宋体"/>
        </w:rPr>
        <w:t>3</w:t>
      </w:r>
      <w:r>
        <w:rPr>
          <w:rFonts w:ascii="宋体" w:hAnsi="宋体" w:hint="eastAsia"/>
        </w:rPr>
        <w:t>、主要会计数据和财务指标</w:t>
      </w:r>
    </w:p>
    <w:p w:rsidR="00AB3AEE" w:rsidRDefault="008D0794">
      <w:pPr>
        <w:pStyle w:val="Chapter"/>
        <w:spacing w:before="0" w:after="0" w:line="360" w:lineRule="auto"/>
        <w:outlineLvl w:val="1"/>
        <w:rPr>
          <w:rFonts w:ascii="宋体"/>
        </w:rPr>
      </w:pPr>
      <w:r>
        <w:rPr>
          <w:rFonts w:ascii="宋体" w:hAnsi="宋体" w:hint="eastAsia"/>
        </w:rPr>
        <w:t>（</w:t>
      </w:r>
      <w:r>
        <w:rPr>
          <w:rFonts w:ascii="宋体" w:hAnsi="宋体"/>
        </w:rPr>
        <w:t>1</w:t>
      </w:r>
      <w:r>
        <w:rPr>
          <w:rFonts w:ascii="宋体" w:hAnsi="宋体" w:hint="eastAsia"/>
        </w:rPr>
        <w:t>）近三年主要会计数据和财务指标</w:t>
      </w:r>
    </w:p>
    <w:p w:rsidR="00AB3AEE" w:rsidRDefault="008D0794">
      <w:pPr>
        <w:spacing w:before="0" w:after="0" w:line="360" w:lineRule="auto"/>
        <w:ind w:firstLineChars="200" w:firstLine="480"/>
        <w:jc w:val="left"/>
        <w:rPr>
          <w:rFonts w:ascii="宋体"/>
          <w:sz w:val="24"/>
          <w:szCs w:val="24"/>
        </w:rPr>
      </w:pPr>
      <w:r>
        <w:rPr>
          <w:rFonts w:ascii="宋体" w:hAnsi="宋体" w:hint="eastAsia"/>
          <w:sz w:val="24"/>
          <w:szCs w:val="24"/>
        </w:rPr>
        <w:t>公司是否需追溯调整或重述以前年度会计数据</w:t>
      </w:r>
    </w:p>
    <w:p w:rsidR="00AB3AEE" w:rsidRDefault="008D0794">
      <w:pPr>
        <w:spacing w:before="0" w:after="0"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否</w:t>
      </w:r>
      <w:r>
        <w:rPr>
          <w:rFonts w:ascii="宋体" w:hAnsi="宋体"/>
          <w:sz w:val="24"/>
          <w:szCs w:val="24"/>
        </w:rPr>
        <w:t xml:space="preserve"> </w:t>
      </w:r>
    </w:p>
    <w:p w:rsidR="00AB3AEE" w:rsidRDefault="008D0794">
      <w:pPr>
        <w:spacing w:before="0" w:after="0" w:line="360" w:lineRule="auto"/>
        <w:jc w:val="right"/>
        <w:rPr>
          <w:rFonts w:cs="Times New Roman"/>
        </w:rPr>
      </w:pPr>
      <w:r>
        <w:rPr>
          <w:rFonts w:hint="eastAsia"/>
          <w:sz w:val="24"/>
          <w:szCs w:val="24"/>
        </w:rPr>
        <w:t>单位：人民币元</w:t>
      </w:r>
    </w:p>
    <w:tbl>
      <w:tblPr>
        <w:tblW w:w="0" w:type="auto"/>
        <w:jc w:val="center"/>
        <w:tblLayout w:type="fixed"/>
        <w:tblLook w:val="0000" w:firstRow="0" w:lastRow="0" w:firstColumn="0" w:lastColumn="0" w:noHBand="0" w:noVBand="0"/>
      </w:tblPr>
      <w:tblGrid>
        <w:gridCol w:w="2325"/>
        <w:gridCol w:w="2034"/>
        <w:gridCol w:w="2091"/>
        <w:gridCol w:w="1383"/>
        <w:gridCol w:w="2097"/>
      </w:tblGrid>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AB3AEE">
            <w:pPr>
              <w:jc w:val="center"/>
              <w:rPr>
                <w:rFonts w:ascii="宋体"/>
                <w:sz w:val="21"/>
                <w:szCs w:val="21"/>
              </w:rPr>
            </w:pPr>
          </w:p>
        </w:tc>
        <w:tc>
          <w:tcPr>
            <w:tcW w:w="2034"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sz w:val="21"/>
                <w:szCs w:val="21"/>
              </w:rPr>
              <w:t>2017</w:t>
            </w:r>
            <w:r>
              <w:rPr>
                <w:rFonts w:ascii="宋体" w:hAnsi="宋体" w:hint="eastAsia"/>
                <w:sz w:val="21"/>
                <w:szCs w:val="21"/>
              </w:rPr>
              <w:t>年</w:t>
            </w:r>
          </w:p>
        </w:tc>
        <w:tc>
          <w:tcPr>
            <w:tcW w:w="2091"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sz w:val="21"/>
                <w:szCs w:val="21"/>
              </w:rPr>
              <w:t>2016</w:t>
            </w:r>
            <w:r>
              <w:rPr>
                <w:rFonts w:ascii="宋体" w:hAnsi="宋体" w:hint="eastAsia"/>
                <w:sz w:val="21"/>
                <w:szCs w:val="21"/>
              </w:rPr>
              <w:t>年</w:t>
            </w:r>
          </w:p>
        </w:tc>
        <w:tc>
          <w:tcPr>
            <w:tcW w:w="1383"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本年比上年增减</w:t>
            </w:r>
          </w:p>
        </w:tc>
        <w:tc>
          <w:tcPr>
            <w:tcW w:w="2097"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sz w:val="21"/>
                <w:szCs w:val="21"/>
              </w:rPr>
              <w:t>2015</w:t>
            </w:r>
            <w:r>
              <w:rPr>
                <w:rFonts w:ascii="宋体" w:hAnsi="宋体" w:hint="eastAsia"/>
                <w:sz w:val="21"/>
                <w:szCs w:val="21"/>
              </w:rPr>
              <w:t>年</w:t>
            </w:r>
          </w:p>
        </w:tc>
      </w:tr>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营业收入（元）</w:t>
            </w:r>
          </w:p>
        </w:tc>
        <w:tc>
          <w:tcPr>
            <w:tcW w:w="2034"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1,613,998,895.96</w:t>
            </w:r>
          </w:p>
        </w:tc>
        <w:tc>
          <w:tcPr>
            <w:tcW w:w="2091"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1,462,601,739.95</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10.35%</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1,496,776,406.36</w:t>
            </w:r>
          </w:p>
        </w:tc>
      </w:tr>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归属于上市公司股东的净利润（元）</w:t>
            </w:r>
          </w:p>
        </w:tc>
        <w:tc>
          <w:tcPr>
            <w:tcW w:w="2034"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1,066,931,157.38</w:t>
            </w:r>
          </w:p>
        </w:tc>
        <w:tc>
          <w:tcPr>
            <w:tcW w:w="2091"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962,677,532.98</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10.83%</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1,493,659,464.87</w:t>
            </w:r>
          </w:p>
        </w:tc>
      </w:tr>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归属于上市公司股东的扣除非经常性损益的净利润（元）</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1,024,290,158.18</w:t>
            </w:r>
          </w:p>
        </w:tc>
        <w:tc>
          <w:tcPr>
            <w:tcW w:w="2091"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916,027,617.23</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11.82%</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1,417,991,852.03</w:t>
            </w:r>
          </w:p>
        </w:tc>
      </w:tr>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经营活动产生的现金流量净额（元）</w:t>
            </w:r>
          </w:p>
        </w:tc>
        <w:tc>
          <w:tcPr>
            <w:tcW w:w="2034"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563,995,887.47</w:t>
            </w:r>
          </w:p>
        </w:tc>
        <w:tc>
          <w:tcPr>
            <w:tcW w:w="2091"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431,832,676.84</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30.61%</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223,928,166.38</w:t>
            </w:r>
          </w:p>
        </w:tc>
      </w:tr>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基本每股收益（元</w:t>
            </w:r>
            <w:r>
              <w:rPr>
                <w:rFonts w:ascii="宋体" w:hAnsi="宋体"/>
                <w:sz w:val="21"/>
                <w:szCs w:val="21"/>
              </w:rPr>
              <w:t>/</w:t>
            </w:r>
            <w:r>
              <w:rPr>
                <w:rFonts w:ascii="宋体" w:hAnsi="宋体" w:hint="eastAsia"/>
                <w:sz w:val="21"/>
                <w:szCs w:val="21"/>
              </w:rPr>
              <w:t>股）</w:t>
            </w:r>
          </w:p>
        </w:tc>
        <w:tc>
          <w:tcPr>
            <w:tcW w:w="2034"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0.72</w:t>
            </w:r>
          </w:p>
        </w:tc>
        <w:tc>
          <w:tcPr>
            <w:tcW w:w="2091"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0.65</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10.83%</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1.06</w:t>
            </w:r>
          </w:p>
        </w:tc>
      </w:tr>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稀释每股收益（元</w:t>
            </w:r>
            <w:r>
              <w:rPr>
                <w:rFonts w:ascii="宋体" w:hAnsi="宋体"/>
                <w:sz w:val="21"/>
                <w:szCs w:val="21"/>
              </w:rPr>
              <w:t>/</w:t>
            </w:r>
            <w:r>
              <w:rPr>
                <w:rFonts w:ascii="宋体" w:hAnsi="宋体" w:hint="eastAsia"/>
                <w:sz w:val="21"/>
                <w:szCs w:val="21"/>
              </w:rPr>
              <w:t>股）</w:t>
            </w:r>
          </w:p>
        </w:tc>
        <w:tc>
          <w:tcPr>
            <w:tcW w:w="2034"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0.72</w:t>
            </w:r>
          </w:p>
        </w:tc>
        <w:tc>
          <w:tcPr>
            <w:tcW w:w="2091"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0.65</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10.83%</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1.06</w:t>
            </w:r>
          </w:p>
        </w:tc>
      </w:tr>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加权平均净资产收益率</w:t>
            </w:r>
          </w:p>
        </w:tc>
        <w:tc>
          <w:tcPr>
            <w:tcW w:w="203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9.15%</w:t>
            </w:r>
          </w:p>
        </w:tc>
        <w:tc>
          <w:tcPr>
            <w:tcW w:w="2091"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8.72%</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0.43%</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17.37%</w:t>
            </w:r>
          </w:p>
        </w:tc>
      </w:tr>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AB3AEE">
            <w:pPr>
              <w:jc w:val="left"/>
              <w:rPr>
                <w:rFonts w:ascii="宋体"/>
                <w:sz w:val="21"/>
                <w:szCs w:val="21"/>
              </w:rPr>
            </w:pPr>
          </w:p>
        </w:tc>
        <w:tc>
          <w:tcPr>
            <w:tcW w:w="2034"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sz w:val="21"/>
                <w:szCs w:val="21"/>
              </w:rPr>
              <w:t>2017</w:t>
            </w:r>
            <w:r>
              <w:rPr>
                <w:rFonts w:ascii="宋体" w:hAnsi="宋体" w:hint="eastAsia"/>
                <w:sz w:val="21"/>
                <w:szCs w:val="21"/>
              </w:rPr>
              <w:t>年末</w:t>
            </w:r>
          </w:p>
        </w:tc>
        <w:tc>
          <w:tcPr>
            <w:tcW w:w="2091"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sz w:val="21"/>
                <w:szCs w:val="21"/>
              </w:rPr>
              <w:t>2016</w:t>
            </w:r>
            <w:r>
              <w:rPr>
                <w:rFonts w:ascii="宋体" w:hAnsi="宋体" w:hint="eastAsia"/>
                <w:sz w:val="21"/>
                <w:szCs w:val="21"/>
              </w:rPr>
              <w:t>年末</w:t>
            </w:r>
          </w:p>
        </w:tc>
        <w:tc>
          <w:tcPr>
            <w:tcW w:w="1383"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本年末比上年末增减</w:t>
            </w:r>
          </w:p>
        </w:tc>
        <w:tc>
          <w:tcPr>
            <w:tcW w:w="2097"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sz w:val="21"/>
                <w:szCs w:val="21"/>
              </w:rPr>
              <w:t>2015</w:t>
            </w:r>
            <w:r>
              <w:rPr>
                <w:rFonts w:ascii="宋体" w:hAnsi="宋体" w:hint="eastAsia"/>
                <w:sz w:val="21"/>
                <w:szCs w:val="21"/>
              </w:rPr>
              <w:t>年末</w:t>
            </w:r>
          </w:p>
        </w:tc>
      </w:tr>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总资产（元）</w:t>
            </w:r>
          </w:p>
        </w:tc>
        <w:tc>
          <w:tcPr>
            <w:tcW w:w="2034"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15,843,034,342.90</w:t>
            </w:r>
          </w:p>
        </w:tc>
        <w:tc>
          <w:tcPr>
            <w:tcW w:w="2091"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15,059,104,862.05</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5.21%</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14,080,024,573.07</w:t>
            </w:r>
          </w:p>
        </w:tc>
      </w:tr>
      <w:tr w:rsidR="00AB3AEE">
        <w:trPr>
          <w:jc w:val="center"/>
        </w:trPr>
        <w:tc>
          <w:tcPr>
            <w:tcW w:w="232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归属于上市公司股东的净资产（元）</w:t>
            </w:r>
          </w:p>
        </w:tc>
        <w:tc>
          <w:tcPr>
            <w:tcW w:w="2034"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12,029,490,849.41</w:t>
            </w:r>
          </w:p>
        </w:tc>
        <w:tc>
          <w:tcPr>
            <w:tcW w:w="2091"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11,330,231,384.44</w:t>
            </w:r>
          </w:p>
        </w:tc>
        <w:tc>
          <w:tcPr>
            <w:tcW w:w="138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6.17%</w:t>
            </w:r>
          </w:p>
        </w:tc>
        <w:tc>
          <w:tcPr>
            <w:tcW w:w="209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10,892,589,443.47</w:t>
            </w:r>
          </w:p>
        </w:tc>
      </w:tr>
    </w:tbl>
    <w:p w:rsidR="00AB3AEE" w:rsidRDefault="008D0794">
      <w:pPr>
        <w:pStyle w:val="Chapter"/>
        <w:spacing w:beforeLines="50" w:before="120" w:after="0" w:line="360" w:lineRule="auto"/>
        <w:outlineLvl w:val="1"/>
        <w:rPr>
          <w:rFonts w:ascii="宋体"/>
        </w:rPr>
      </w:pPr>
      <w:r>
        <w:rPr>
          <w:rFonts w:ascii="宋体" w:hAnsi="宋体" w:hint="eastAsia"/>
        </w:rPr>
        <w:t>（</w:t>
      </w:r>
      <w:r>
        <w:rPr>
          <w:rFonts w:ascii="宋体" w:hAnsi="宋体"/>
        </w:rPr>
        <w:t>2</w:t>
      </w:r>
      <w:r>
        <w:rPr>
          <w:rFonts w:ascii="宋体" w:hAnsi="宋体" w:hint="eastAsia"/>
        </w:rPr>
        <w:t>）分季度主要会计数据</w:t>
      </w:r>
    </w:p>
    <w:p w:rsidR="00AB3AEE" w:rsidRDefault="008D0794">
      <w:pPr>
        <w:spacing w:before="0" w:after="0" w:line="360" w:lineRule="auto"/>
        <w:jc w:val="right"/>
        <w:rPr>
          <w:rFonts w:cs="Times New Roman"/>
          <w:sz w:val="24"/>
          <w:szCs w:val="24"/>
        </w:rPr>
      </w:pPr>
      <w:r>
        <w:rPr>
          <w:rFonts w:hint="eastAsia"/>
          <w:sz w:val="24"/>
          <w:szCs w:val="24"/>
        </w:rPr>
        <w:t>单位：人民币元</w:t>
      </w:r>
    </w:p>
    <w:tbl>
      <w:tblPr>
        <w:tblW w:w="0" w:type="auto"/>
        <w:jc w:val="center"/>
        <w:tblLayout w:type="fixed"/>
        <w:tblLook w:val="0000" w:firstRow="0" w:lastRow="0" w:firstColumn="0" w:lastColumn="0" w:noHBand="0" w:noVBand="0"/>
      </w:tblPr>
      <w:tblGrid>
        <w:gridCol w:w="3140"/>
        <w:gridCol w:w="1732"/>
        <w:gridCol w:w="1727"/>
        <w:gridCol w:w="1727"/>
        <w:gridCol w:w="1722"/>
      </w:tblGrid>
      <w:tr w:rsidR="00AB3AEE">
        <w:trPr>
          <w:jc w:val="center"/>
        </w:trPr>
        <w:tc>
          <w:tcPr>
            <w:tcW w:w="3140"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AB3AEE">
            <w:pPr>
              <w:jc w:val="center"/>
              <w:rPr>
                <w:rFonts w:ascii="宋体"/>
                <w:sz w:val="21"/>
                <w:szCs w:val="21"/>
              </w:rPr>
            </w:pPr>
          </w:p>
        </w:tc>
        <w:tc>
          <w:tcPr>
            <w:tcW w:w="173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第一季度</w:t>
            </w:r>
          </w:p>
        </w:tc>
        <w:tc>
          <w:tcPr>
            <w:tcW w:w="1727"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第二季度</w:t>
            </w:r>
          </w:p>
        </w:tc>
        <w:tc>
          <w:tcPr>
            <w:tcW w:w="1727"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第三季度</w:t>
            </w:r>
          </w:p>
        </w:tc>
        <w:tc>
          <w:tcPr>
            <w:tcW w:w="172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第四季度</w:t>
            </w:r>
          </w:p>
        </w:tc>
      </w:tr>
      <w:tr w:rsidR="00AB3AEE">
        <w:trPr>
          <w:jc w:val="center"/>
        </w:trPr>
        <w:tc>
          <w:tcPr>
            <w:tcW w:w="3140"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营业收入</w:t>
            </w:r>
          </w:p>
        </w:tc>
        <w:tc>
          <w:tcPr>
            <w:tcW w:w="173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329,291,757.39</w:t>
            </w:r>
          </w:p>
        </w:tc>
        <w:tc>
          <w:tcPr>
            <w:tcW w:w="1727"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367,086,117.22</w:t>
            </w:r>
          </w:p>
        </w:tc>
        <w:tc>
          <w:tcPr>
            <w:tcW w:w="1727"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428,239,510.73</w:t>
            </w:r>
          </w:p>
        </w:tc>
        <w:tc>
          <w:tcPr>
            <w:tcW w:w="172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489,381,510.62</w:t>
            </w:r>
          </w:p>
        </w:tc>
      </w:tr>
      <w:tr w:rsidR="00AB3AEE">
        <w:trPr>
          <w:jc w:val="center"/>
        </w:trPr>
        <w:tc>
          <w:tcPr>
            <w:tcW w:w="3140"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归属于上市公司股东的净利润</w:t>
            </w:r>
          </w:p>
        </w:tc>
        <w:tc>
          <w:tcPr>
            <w:tcW w:w="173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243,549,760.26</w:t>
            </w:r>
          </w:p>
        </w:tc>
        <w:tc>
          <w:tcPr>
            <w:tcW w:w="1727"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282,376,501.86</w:t>
            </w:r>
          </w:p>
        </w:tc>
        <w:tc>
          <w:tcPr>
            <w:tcW w:w="1727"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292,213,273.90</w:t>
            </w:r>
          </w:p>
        </w:tc>
        <w:tc>
          <w:tcPr>
            <w:tcW w:w="172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248,791,621.36</w:t>
            </w:r>
          </w:p>
        </w:tc>
      </w:tr>
      <w:tr w:rsidR="00AB3AEE">
        <w:trPr>
          <w:jc w:val="center"/>
        </w:trPr>
        <w:tc>
          <w:tcPr>
            <w:tcW w:w="3140"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归属于上市公司股东的扣除非经常性损益的净利润</w:t>
            </w:r>
          </w:p>
        </w:tc>
        <w:tc>
          <w:tcPr>
            <w:tcW w:w="173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238,542,861.75</w:t>
            </w:r>
          </w:p>
        </w:tc>
        <w:tc>
          <w:tcPr>
            <w:tcW w:w="1727"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275,845,795.00</w:t>
            </w:r>
          </w:p>
        </w:tc>
        <w:tc>
          <w:tcPr>
            <w:tcW w:w="1727"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285,928,698.73</w:t>
            </w:r>
          </w:p>
        </w:tc>
        <w:tc>
          <w:tcPr>
            <w:tcW w:w="172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223,972,802.70</w:t>
            </w:r>
          </w:p>
        </w:tc>
      </w:tr>
      <w:tr w:rsidR="00AB3AEE">
        <w:trPr>
          <w:jc w:val="center"/>
        </w:trPr>
        <w:tc>
          <w:tcPr>
            <w:tcW w:w="3140"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经营活动产生的现金流量净额</w:t>
            </w:r>
          </w:p>
        </w:tc>
        <w:tc>
          <w:tcPr>
            <w:tcW w:w="173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55,940,204.06</w:t>
            </w:r>
          </w:p>
        </w:tc>
        <w:tc>
          <w:tcPr>
            <w:tcW w:w="1727"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141,731,692.49</w:t>
            </w:r>
          </w:p>
        </w:tc>
        <w:tc>
          <w:tcPr>
            <w:tcW w:w="1727"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175,904,069.63</w:t>
            </w:r>
          </w:p>
        </w:tc>
        <w:tc>
          <w:tcPr>
            <w:tcW w:w="172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190,419,921.29</w:t>
            </w:r>
          </w:p>
        </w:tc>
      </w:tr>
    </w:tbl>
    <w:p w:rsidR="00AB3AEE" w:rsidRDefault="008D0794">
      <w:pPr>
        <w:spacing w:beforeLines="50" w:before="120" w:after="0" w:line="360" w:lineRule="auto"/>
        <w:ind w:firstLineChars="200" w:firstLine="480"/>
        <w:jc w:val="left"/>
        <w:rPr>
          <w:sz w:val="24"/>
          <w:szCs w:val="24"/>
        </w:rPr>
      </w:pPr>
      <w:r>
        <w:rPr>
          <w:rFonts w:ascii="宋体" w:hAnsi="宋体" w:hint="eastAsia"/>
          <w:sz w:val="24"/>
          <w:szCs w:val="24"/>
        </w:rPr>
        <w:t>上述财务指标或其加总数是否与公司已披露季度报告、半年度报告相关财务指标存在重大差异</w:t>
      </w:r>
    </w:p>
    <w:p w:rsidR="00AB3AEE" w:rsidRDefault="008D0794">
      <w:pPr>
        <w:spacing w:before="0" w:after="0"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否</w:t>
      </w:r>
      <w:r>
        <w:rPr>
          <w:rFonts w:ascii="宋体" w:hAnsi="宋体"/>
          <w:sz w:val="24"/>
          <w:szCs w:val="24"/>
        </w:rPr>
        <w:t xml:space="preserve"> </w:t>
      </w:r>
    </w:p>
    <w:p w:rsidR="00AB3AEE" w:rsidRDefault="008D0794">
      <w:pPr>
        <w:pStyle w:val="Chapter"/>
        <w:spacing w:before="0" w:after="0" w:line="360" w:lineRule="auto"/>
        <w:outlineLvl w:val="1"/>
        <w:rPr>
          <w:rFonts w:ascii="宋体"/>
        </w:rPr>
      </w:pPr>
      <w:r>
        <w:rPr>
          <w:rFonts w:ascii="宋体" w:hAnsi="宋体"/>
        </w:rPr>
        <w:t>4</w:t>
      </w:r>
      <w:r>
        <w:rPr>
          <w:rFonts w:ascii="宋体" w:hAnsi="宋体" w:hint="eastAsia"/>
        </w:rPr>
        <w:t>、股本及股东情况</w:t>
      </w:r>
    </w:p>
    <w:p w:rsidR="00AB3AEE" w:rsidRDefault="008D0794">
      <w:pPr>
        <w:pStyle w:val="Chapter"/>
        <w:spacing w:before="0" w:after="0" w:line="360" w:lineRule="auto"/>
        <w:outlineLvl w:val="1"/>
        <w:rPr>
          <w:rFonts w:ascii="宋体"/>
        </w:rPr>
      </w:pPr>
      <w:r>
        <w:rPr>
          <w:rFonts w:ascii="宋体" w:hAnsi="宋体" w:hint="eastAsia"/>
        </w:rPr>
        <w:t>（</w:t>
      </w:r>
      <w:r>
        <w:rPr>
          <w:rFonts w:ascii="宋体" w:hAnsi="宋体"/>
        </w:rPr>
        <w:t>1</w:t>
      </w:r>
      <w:r>
        <w:rPr>
          <w:rFonts w:ascii="宋体" w:hAnsi="宋体" w:hint="eastAsia"/>
        </w:rPr>
        <w:t>）普通股股东和表决权恢复的优先股股东数量及前</w:t>
      </w:r>
      <w:r>
        <w:rPr>
          <w:rFonts w:ascii="宋体" w:hAnsi="宋体"/>
        </w:rPr>
        <w:t>10</w:t>
      </w:r>
      <w:r>
        <w:rPr>
          <w:rFonts w:ascii="宋体" w:hAnsi="宋体" w:hint="eastAsia"/>
        </w:rPr>
        <w:t>名股东持股情况表</w:t>
      </w:r>
    </w:p>
    <w:p w:rsidR="00AB3AEE" w:rsidRDefault="008D0794">
      <w:pPr>
        <w:jc w:val="right"/>
        <w:rPr>
          <w:rFonts w:cs="Times New Roman"/>
        </w:rPr>
      </w:pPr>
      <w:r>
        <w:rPr>
          <w:rFonts w:hint="eastAsia"/>
          <w:sz w:val="24"/>
          <w:szCs w:val="24"/>
        </w:rPr>
        <w:t>单位：股</w:t>
      </w:r>
    </w:p>
    <w:tbl>
      <w:tblPr>
        <w:tblW w:w="0" w:type="auto"/>
        <w:jc w:val="center"/>
        <w:tblLayout w:type="fixed"/>
        <w:tblLook w:val="0000" w:firstRow="0" w:lastRow="0" w:firstColumn="0" w:lastColumn="0" w:noHBand="0" w:noVBand="0"/>
      </w:tblPr>
      <w:tblGrid>
        <w:gridCol w:w="1782"/>
        <w:gridCol w:w="524"/>
        <w:gridCol w:w="451"/>
        <w:gridCol w:w="959"/>
        <w:gridCol w:w="706"/>
        <w:gridCol w:w="465"/>
        <w:gridCol w:w="480"/>
        <w:gridCol w:w="1317"/>
        <w:gridCol w:w="393"/>
        <w:gridCol w:w="675"/>
        <w:gridCol w:w="782"/>
        <w:gridCol w:w="1126"/>
        <w:gridCol w:w="984"/>
      </w:tblGrid>
      <w:tr w:rsidR="00AB3AEE">
        <w:trPr>
          <w:jc w:val="center"/>
        </w:trPr>
        <w:tc>
          <w:tcPr>
            <w:tcW w:w="178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报告期末普通股股东总数（人）</w:t>
            </w:r>
          </w:p>
        </w:tc>
        <w:tc>
          <w:tcPr>
            <w:tcW w:w="9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48,491</w:t>
            </w:r>
          </w:p>
        </w:tc>
        <w:tc>
          <w:tcPr>
            <w:tcW w:w="166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年度报告披露日前一个月末普通股股东总数</w:t>
            </w:r>
            <w:r>
              <w:rPr>
                <w:rFonts w:ascii="宋体" w:hAnsi="宋体"/>
                <w:sz w:val="21"/>
                <w:szCs w:val="21"/>
              </w:rPr>
              <w:t>(</w:t>
            </w:r>
            <w:r>
              <w:rPr>
                <w:rFonts w:ascii="宋体" w:hAnsi="宋体" w:hint="eastAsia"/>
                <w:sz w:val="21"/>
                <w:szCs w:val="21"/>
              </w:rPr>
              <w:t>人）</w:t>
            </w:r>
          </w:p>
        </w:tc>
        <w:tc>
          <w:tcPr>
            <w:tcW w:w="9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47,726</w:t>
            </w:r>
          </w:p>
        </w:tc>
        <w:tc>
          <w:tcPr>
            <w:tcW w:w="171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报告期末表决权恢复的优先股股东总数（人）</w:t>
            </w:r>
          </w:p>
        </w:tc>
        <w:tc>
          <w:tcPr>
            <w:tcW w:w="675"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sz w:val="21"/>
                <w:szCs w:val="21"/>
              </w:rPr>
            </w:pPr>
            <w:r>
              <w:rPr>
                <w:rFonts w:ascii="宋体"/>
                <w:sz w:val="21"/>
                <w:szCs w:val="21"/>
              </w:rPr>
              <w:t>0</w:t>
            </w:r>
          </w:p>
        </w:tc>
        <w:tc>
          <w:tcPr>
            <w:tcW w:w="1908"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年度报告披露日前一个月末表决权恢复的优先股股东总数（人）</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sz w:val="21"/>
                <w:szCs w:val="21"/>
              </w:rPr>
            </w:pPr>
            <w:r>
              <w:rPr>
                <w:rFonts w:ascii="宋体"/>
                <w:sz w:val="21"/>
                <w:szCs w:val="21"/>
              </w:rPr>
              <w:t>0</w:t>
            </w:r>
          </w:p>
        </w:tc>
      </w:tr>
      <w:tr w:rsidR="00AB3AEE">
        <w:trPr>
          <w:jc w:val="center"/>
        </w:trPr>
        <w:tc>
          <w:tcPr>
            <w:tcW w:w="10644" w:type="dxa"/>
            <w:gridSpan w:val="13"/>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前</w:t>
            </w:r>
            <w:r>
              <w:rPr>
                <w:rFonts w:ascii="宋体" w:hAnsi="宋体"/>
                <w:sz w:val="21"/>
                <w:szCs w:val="21"/>
              </w:rPr>
              <w:t>10</w:t>
            </w:r>
            <w:r>
              <w:rPr>
                <w:rFonts w:ascii="宋体" w:hAnsi="宋体" w:hint="eastAsia"/>
                <w:sz w:val="21"/>
                <w:szCs w:val="21"/>
              </w:rPr>
              <w:t>名股东持股情况</w:t>
            </w:r>
          </w:p>
        </w:tc>
      </w:tr>
      <w:tr w:rsidR="00AB3AEE">
        <w:trPr>
          <w:jc w:val="center"/>
        </w:trPr>
        <w:tc>
          <w:tcPr>
            <w:tcW w:w="2306"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股东名称</w:t>
            </w:r>
          </w:p>
        </w:tc>
        <w:tc>
          <w:tcPr>
            <w:tcW w:w="1410"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股东性质</w:t>
            </w:r>
          </w:p>
        </w:tc>
        <w:tc>
          <w:tcPr>
            <w:tcW w:w="1171"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持股比例</w:t>
            </w:r>
          </w:p>
        </w:tc>
        <w:tc>
          <w:tcPr>
            <w:tcW w:w="1797" w:type="dxa"/>
            <w:gridSpan w:val="2"/>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持股数量</w:t>
            </w:r>
          </w:p>
        </w:tc>
        <w:tc>
          <w:tcPr>
            <w:tcW w:w="1850" w:type="dxa"/>
            <w:gridSpan w:val="3"/>
            <w:vMerge w:val="restart"/>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持有有限售条件的股份数量</w:t>
            </w:r>
          </w:p>
        </w:tc>
        <w:tc>
          <w:tcPr>
            <w:tcW w:w="211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质押或冻结情况</w:t>
            </w:r>
          </w:p>
        </w:tc>
      </w:tr>
      <w:tr w:rsidR="00AB3AEE">
        <w:trPr>
          <w:jc w:val="center"/>
        </w:trPr>
        <w:tc>
          <w:tcPr>
            <w:tcW w:w="2306" w:type="dxa"/>
            <w:gridSpan w:val="2"/>
            <w:vMerge/>
            <w:tcBorders>
              <w:top w:val="single" w:sz="4" w:space="0" w:color="auto"/>
              <w:left w:val="single" w:sz="4" w:space="0" w:color="auto"/>
              <w:bottom w:val="single" w:sz="4" w:space="0" w:color="auto"/>
              <w:right w:val="single" w:sz="4" w:space="0" w:color="auto"/>
            </w:tcBorders>
            <w:vAlign w:val="center"/>
          </w:tcPr>
          <w:p w:rsidR="00AB3AEE" w:rsidRDefault="00AB3AEE">
            <w:pPr>
              <w:jc w:val="center"/>
              <w:rPr>
                <w:rFonts w:ascii="宋体"/>
                <w:sz w:val="21"/>
                <w:szCs w:val="21"/>
              </w:rPr>
            </w:pPr>
          </w:p>
        </w:tc>
        <w:tc>
          <w:tcPr>
            <w:tcW w:w="1410" w:type="dxa"/>
            <w:gridSpan w:val="2"/>
            <w:vMerge/>
            <w:tcBorders>
              <w:top w:val="single" w:sz="4" w:space="0" w:color="auto"/>
              <w:left w:val="single" w:sz="4" w:space="0" w:color="auto"/>
              <w:bottom w:val="single" w:sz="4" w:space="0" w:color="auto"/>
              <w:right w:val="single" w:sz="4" w:space="0" w:color="auto"/>
            </w:tcBorders>
            <w:vAlign w:val="center"/>
          </w:tcPr>
          <w:p w:rsidR="00AB3AEE" w:rsidRDefault="00AB3AEE">
            <w:pPr>
              <w:jc w:val="center"/>
              <w:rPr>
                <w:rFonts w:ascii="宋体"/>
                <w:sz w:val="21"/>
                <w:szCs w:val="21"/>
              </w:rPr>
            </w:pPr>
          </w:p>
        </w:tc>
        <w:tc>
          <w:tcPr>
            <w:tcW w:w="1171" w:type="dxa"/>
            <w:gridSpan w:val="2"/>
            <w:vMerge/>
            <w:tcBorders>
              <w:top w:val="single" w:sz="4" w:space="0" w:color="auto"/>
              <w:left w:val="single" w:sz="4" w:space="0" w:color="auto"/>
              <w:bottom w:val="single" w:sz="4" w:space="0" w:color="auto"/>
              <w:right w:val="single" w:sz="4" w:space="0" w:color="auto"/>
            </w:tcBorders>
            <w:vAlign w:val="center"/>
          </w:tcPr>
          <w:p w:rsidR="00AB3AEE" w:rsidRDefault="00AB3AEE">
            <w:pPr>
              <w:jc w:val="center"/>
              <w:rPr>
                <w:rFonts w:ascii="宋体"/>
                <w:sz w:val="21"/>
                <w:szCs w:val="21"/>
              </w:rPr>
            </w:pPr>
          </w:p>
        </w:tc>
        <w:tc>
          <w:tcPr>
            <w:tcW w:w="1797" w:type="dxa"/>
            <w:gridSpan w:val="2"/>
            <w:vMerge/>
            <w:tcBorders>
              <w:top w:val="single" w:sz="4" w:space="0" w:color="auto"/>
              <w:left w:val="single" w:sz="4" w:space="0" w:color="auto"/>
              <w:bottom w:val="single" w:sz="4" w:space="0" w:color="auto"/>
              <w:right w:val="single" w:sz="4" w:space="0" w:color="auto"/>
            </w:tcBorders>
            <w:vAlign w:val="center"/>
          </w:tcPr>
          <w:p w:rsidR="00AB3AEE" w:rsidRDefault="00AB3AEE">
            <w:pPr>
              <w:jc w:val="center"/>
              <w:rPr>
                <w:rFonts w:ascii="宋体"/>
                <w:sz w:val="21"/>
                <w:szCs w:val="21"/>
              </w:rPr>
            </w:pPr>
          </w:p>
        </w:tc>
        <w:tc>
          <w:tcPr>
            <w:tcW w:w="1850" w:type="dxa"/>
            <w:gridSpan w:val="3"/>
            <w:vMerge/>
            <w:tcBorders>
              <w:top w:val="single" w:sz="4" w:space="0" w:color="auto"/>
              <w:left w:val="single" w:sz="4" w:space="0" w:color="auto"/>
              <w:bottom w:val="single" w:sz="4" w:space="0" w:color="auto"/>
              <w:right w:val="single" w:sz="4" w:space="0" w:color="auto"/>
            </w:tcBorders>
            <w:vAlign w:val="center"/>
          </w:tcPr>
          <w:p w:rsidR="00AB3AEE" w:rsidRDefault="00AB3AEE">
            <w:pPr>
              <w:jc w:val="center"/>
              <w:rPr>
                <w:rFonts w:ascii="宋体"/>
                <w:sz w:val="21"/>
                <w:szCs w:val="21"/>
              </w:rPr>
            </w:pPr>
          </w:p>
        </w:tc>
        <w:tc>
          <w:tcPr>
            <w:tcW w:w="1126"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股份状态</w:t>
            </w:r>
          </w:p>
        </w:tc>
        <w:tc>
          <w:tcPr>
            <w:tcW w:w="984"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数量</w:t>
            </w:r>
          </w:p>
        </w:tc>
      </w:tr>
      <w:tr w:rsidR="00AB3AEE">
        <w:trPr>
          <w:jc w:val="center"/>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中山中汇投资集团有限公司</w:t>
            </w:r>
          </w:p>
        </w:tc>
        <w:tc>
          <w:tcPr>
            <w:tcW w:w="1410"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国有法人</w:t>
            </w:r>
          </w:p>
        </w:tc>
        <w:tc>
          <w:tcPr>
            <w:tcW w:w="1171"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47.98%</w:t>
            </w:r>
          </w:p>
        </w:tc>
        <w:tc>
          <w:tcPr>
            <w:tcW w:w="1797"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707,747,250</w:t>
            </w:r>
          </w:p>
        </w:tc>
        <w:tc>
          <w:tcPr>
            <w:tcW w:w="1850" w:type="dxa"/>
            <w:gridSpan w:val="3"/>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216,675,767</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r>
      <w:tr w:rsidR="00AB3AEE">
        <w:trPr>
          <w:jc w:val="center"/>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上海复星高科技（集团）有限公司</w:t>
            </w:r>
          </w:p>
        </w:tc>
        <w:tc>
          <w:tcPr>
            <w:tcW w:w="1410"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境内非国有法人</w:t>
            </w:r>
          </w:p>
        </w:tc>
        <w:tc>
          <w:tcPr>
            <w:tcW w:w="1171"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12.35%</w:t>
            </w:r>
          </w:p>
        </w:tc>
        <w:tc>
          <w:tcPr>
            <w:tcW w:w="1797"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182,211,872</w:t>
            </w:r>
          </w:p>
        </w:tc>
        <w:tc>
          <w:tcPr>
            <w:tcW w:w="1850" w:type="dxa"/>
            <w:gridSpan w:val="3"/>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r>
      <w:tr w:rsidR="00AB3AEE">
        <w:trPr>
          <w:jc w:val="center"/>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中央汇金资产管理有限责任公司</w:t>
            </w:r>
          </w:p>
        </w:tc>
        <w:tc>
          <w:tcPr>
            <w:tcW w:w="1410"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国有法人</w:t>
            </w:r>
          </w:p>
        </w:tc>
        <w:tc>
          <w:tcPr>
            <w:tcW w:w="1171"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1.87%</w:t>
            </w:r>
          </w:p>
        </w:tc>
        <w:tc>
          <w:tcPr>
            <w:tcW w:w="1797"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27,511,100</w:t>
            </w:r>
          </w:p>
        </w:tc>
        <w:tc>
          <w:tcPr>
            <w:tcW w:w="1850" w:type="dxa"/>
            <w:gridSpan w:val="3"/>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r>
      <w:tr w:rsidR="00AB3AEE">
        <w:trPr>
          <w:jc w:val="center"/>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中山市古镇自来水厂</w:t>
            </w:r>
          </w:p>
        </w:tc>
        <w:tc>
          <w:tcPr>
            <w:tcW w:w="1410"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境内非国有法人</w:t>
            </w:r>
          </w:p>
        </w:tc>
        <w:tc>
          <w:tcPr>
            <w:tcW w:w="1171"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0.85%</w:t>
            </w:r>
          </w:p>
        </w:tc>
        <w:tc>
          <w:tcPr>
            <w:tcW w:w="1797"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12,603,546</w:t>
            </w:r>
          </w:p>
        </w:tc>
        <w:tc>
          <w:tcPr>
            <w:tcW w:w="1850" w:type="dxa"/>
            <w:gridSpan w:val="3"/>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r>
      <w:tr w:rsidR="00AB3AEE">
        <w:trPr>
          <w:jc w:val="center"/>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中山市三乡水务有限公司</w:t>
            </w:r>
          </w:p>
        </w:tc>
        <w:tc>
          <w:tcPr>
            <w:tcW w:w="1410"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境内非国有法人</w:t>
            </w:r>
          </w:p>
        </w:tc>
        <w:tc>
          <w:tcPr>
            <w:tcW w:w="1171"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0.80%</w:t>
            </w:r>
          </w:p>
        </w:tc>
        <w:tc>
          <w:tcPr>
            <w:tcW w:w="1797"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11,797,866</w:t>
            </w:r>
          </w:p>
        </w:tc>
        <w:tc>
          <w:tcPr>
            <w:tcW w:w="1850" w:type="dxa"/>
            <w:gridSpan w:val="3"/>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r>
      <w:tr w:rsidR="00AB3AEE">
        <w:trPr>
          <w:jc w:val="center"/>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中广核资本控股有限公司</w:t>
            </w:r>
          </w:p>
        </w:tc>
        <w:tc>
          <w:tcPr>
            <w:tcW w:w="1410"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国有法人</w:t>
            </w:r>
          </w:p>
        </w:tc>
        <w:tc>
          <w:tcPr>
            <w:tcW w:w="1171"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0.68%</w:t>
            </w:r>
          </w:p>
        </w:tc>
        <w:tc>
          <w:tcPr>
            <w:tcW w:w="1797"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9,983,361</w:t>
            </w:r>
          </w:p>
        </w:tc>
        <w:tc>
          <w:tcPr>
            <w:tcW w:w="1850" w:type="dxa"/>
            <w:gridSpan w:val="3"/>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r>
      <w:tr w:rsidR="00AB3AEE">
        <w:trPr>
          <w:jc w:val="center"/>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广西铁路发展投资基金（有限合伙）</w:t>
            </w:r>
          </w:p>
        </w:tc>
        <w:tc>
          <w:tcPr>
            <w:tcW w:w="1410"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境内非国有法人</w:t>
            </w:r>
          </w:p>
        </w:tc>
        <w:tc>
          <w:tcPr>
            <w:tcW w:w="1171"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0.56%</w:t>
            </w:r>
          </w:p>
        </w:tc>
        <w:tc>
          <w:tcPr>
            <w:tcW w:w="1797"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8,319,467</w:t>
            </w:r>
          </w:p>
        </w:tc>
        <w:tc>
          <w:tcPr>
            <w:tcW w:w="1850" w:type="dxa"/>
            <w:gridSpan w:val="3"/>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r>
      <w:tr w:rsidR="00AB3AEE">
        <w:trPr>
          <w:jc w:val="center"/>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中山市东凤自来水厂</w:t>
            </w:r>
          </w:p>
        </w:tc>
        <w:tc>
          <w:tcPr>
            <w:tcW w:w="1410"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境内非国有法人</w:t>
            </w:r>
          </w:p>
        </w:tc>
        <w:tc>
          <w:tcPr>
            <w:tcW w:w="1171"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0.54%</w:t>
            </w:r>
          </w:p>
        </w:tc>
        <w:tc>
          <w:tcPr>
            <w:tcW w:w="1797"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7,998,806</w:t>
            </w:r>
          </w:p>
        </w:tc>
        <w:tc>
          <w:tcPr>
            <w:tcW w:w="1850" w:type="dxa"/>
            <w:gridSpan w:val="3"/>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r>
      <w:tr w:rsidR="00AB3AEE">
        <w:trPr>
          <w:jc w:val="center"/>
        </w:trPr>
        <w:tc>
          <w:tcPr>
            <w:tcW w:w="2306"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中国证券金融股份有限公司</w:t>
            </w:r>
          </w:p>
        </w:tc>
        <w:tc>
          <w:tcPr>
            <w:tcW w:w="1410"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境内非国有法人</w:t>
            </w:r>
          </w:p>
        </w:tc>
        <w:tc>
          <w:tcPr>
            <w:tcW w:w="1171"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0.49%</w:t>
            </w:r>
          </w:p>
        </w:tc>
        <w:tc>
          <w:tcPr>
            <w:tcW w:w="1797"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7,217,179</w:t>
            </w:r>
          </w:p>
        </w:tc>
        <w:tc>
          <w:tcPr>
            <w:tcW w:w="1850" w:type="dxa"/>
            <w:gridSpan w:val="3"/>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r>
      <w:tr w:rsidR="00AB3AEE">
        <w:trPr>
          <w:jc w:val="center"/>
        </w:trPr>
        <w:tc>
          <w:tcPr>
            <w:tcW w:w="2306" w:type="dxa"/>
            <w:gridSpan w:val="2"/>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张克强</w:t>
            </w:r>
          </w:p>
        </w:tc>
        <w:tc>
          <w:tcPr>
            <w:tcW w:w="1410" w:type="dxa"/>
            <w:gridSpan w:val="2"/>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hint="eastAsia"/>
                <w:sz w:val="21"/>
                <w:szCs w:val="21"/>
              </w:rPr>
              <w:t>境内自然人</w:t>
            </w:r>
          </w:p>
        </w:tc>
        <w:tc>
          <w:tcPr>
            <w:tcW w:w="1171" w:type="dxa"/>
            <w:gridSpan w:val="2"/>
            <w:vMerge w:val="restart"/>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0.46%</w:t>
            </w:r>
          </w:p>
        </w:tc>
        <w:tc>
          <w:tcPr>
            <w:tcW w:w="1797" w:type="dxa"/>
            <w:gridSpan w:val="2"/>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6,759,437</w:t>
            </w:r>
          </w:p>
        </w:tc>
        <w:tc>
          <w:tcPr>
            <w:tcW w:w="1850" w:type="dxa"/>
            <w:gridSpan w:val="3"/>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w:t>
            </w:r>
          </w:p>
        </w:tc>
        <w:tc>
          <w:tcPr>
            <w:tcW w:w="1126"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c>
          <w:tcPr>
            <w:tcW w:w="9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w:t>
            </w:r>
          </w:p>
        </w:tc>
      </w:tr>
      <w:tr w:rsidR="00AB3AEE">
        <w:trPr>
          <w:jc w:val="center"/>
        </w:trPr>
        <w:tc>
          <w:tcPr>
            <w:tcW w:w="371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上述股东关联关系或一致行动的说明</w:t>
            </w:r>
          </w:p>
        </w:tc>
        <w:tc>
          <w:tcPr>
            <w:tcW w:w="692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hint="eastAsia"/>
                <w:sz w:val="21"/>
                <w:szCs w:val="21"/>
              </w:rPr>
              <w:t>公司前十名股东中持有有限售条件流通股股份的国有股东、法人股各股东之间无关联关系，亦无属于《上市公司股东持股变动信息披露管理办法》中规定的一致行动人情况。其他各无限售条件流通股股东之间，公司无法判断有无关联关系，也无法判断是否属于《上市公司股东持股变动信息披露管理办法》中规定的一致行动人情况。</w:t>
            </w:r>
          </w:p>
        </w:tc>
      </w:tr>
      <w:tr w:rsidR="00AB3AEE">
        <w:trPr>
          <w:jc w:val="center"/>
        </w:trPr>
        <w:tc>
          <w:tcPr>
            <w:tcW w:w="3716" w:type="dxa"/>
            <w:gridSpan w:val="4"/>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参与融资融券业务股东情况说明</w:t>
            </w:r>
          </w:p>
        </w:tc>
        <w:tc>
          <w:tcPr>
            <w:tcW w:w="6928"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hint="eastAsia"/>
                <w:sz w:val="21"/>
                <w:szCs w:val="21"/>
              </w:rPr>
              <w:t>无。</w:t>
            </w:r>
          </w:p>
        </w:tc>
      </w:tr>
    </w:tbl>
    <w:p w:rsidR="00AB3AEE" w:rsidRDefault="008D0794">
      <w:pPr>
        <w:pStyle w:val="Chapter"/>
        <w:spacing w:before="0" w:after="0" w:line="360" w:lineRule="auto"/>
        <w:outlineLvl w:val="1"/>
        <w:rPr>
          <w:rFonts w:ascii="宋体"/>
        </w:rPr>
      </w:pPr>
      <w:r>
        <w:rPr>
          <w:rFonts w:ascii="宋体" w:hAnsi="宋体" w:hint="eastAsia"/>
        </w:rPr>
        <w:t>（</w:t>
      </w:r>
      <w:r>
        <w:rPr>
          <w:rFonts w:ascii="宋体" w:hAnsi="宋体"/>
        </w:rPr>
        <w:t>2</w:t>
      </w:r>
      <w:r>
        <w:rPr>
          <w:rFonts w:ascii="宋体" w:hAnsi="宋体" w:hint="eastAsia"/>
        </w:rPr>
        <w:t>）公司优先股股东总数及前</w:t>
      </w:r>
      <w:r>
        <w:rPr>
          <w:rFonts w:ascii="宋体" w:hAnsi="宋体"/>
        </w:rPr>
        <w:t>10</w:t>
      </w:r>
      <w:r>
        <w:rPr>
          <w:rFonts w:ascii="宋体" w:hAnsi="宋体" w:hint="eastAsia"/>
        </w:rPr>
        <w:t>名优先股股东持股情况表</w:t>
      </w:r>
    </w:p>
    <w:p w:rsidR="00AB3AEE" w:rsidRDefault="008D0794">
      <w:pPr>
        <w:spacing w:before="0" w:after="0"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AB3AEE" w:rsidRDefault="008D0794">
      <w:pPr>
        <w:spacing w:before="0" w:after="0" w:line="360" w:lineRule="auto"/>
        <w:ind w:firstLineChars="200" w:firstLine="480"/>
        <w:jc w:val="left"/>
        <w:rPr>
          <w:rFonts w:ascii="宋体"/>
          <w:sz w:val="24"/>
          <w:szCs w:val="24"/>
        </w:rPr>
      </w:pPr>
      <w:r>
        <w:rPr>
          <w:rFonts w:ascii="宋体" w:hAnsi="宋体" w:hint="eastAsia"/>
          <w:sz w:val="24"/>
          <w:szCs w:val="24"/>
        </w:rPr>
        <w:t>公司报告期无优先股股东持股情况。</w:t>
      </w:r>
    </w:p>
    <w:p w:rsidR="00AB3AEE" w:rsidRDefault="008D0794">
      <w:pPr>
        <w:pStyle w:val="Chapter"/>
        <w:spacing w:before="0" w:after="0" w:line="360" w:lineRule="auto"/>
        <w:outlineLvl w:val="1"/>
        <w:rPr>
          <w:rFonts w:ascii="宋体"/>
        </w:rPr>
      </w:pPr>
      <w:r>
        <w:rPr>
          <w:rFonts w:ascii="宋体" w:hAnsi="宋体" w:hint="eastAsia"/>
        </w:rPr>
        <w:t>（</w:t>
      </w:r>
      <w:r>
        <w:rPr>
          <w:rFonts w:ascii="宋体" w:hAnsi="宋体"/>
        </w:rPr>
        <w:t>3</w:t>
      </w:r>
      <w:r>
        <w:rPr>
          <w:rFonts w:ascii="宋体" w:hAnsi="宋体" w:hint="eastAsia"/>
        </w:rPr>
        <w:t>）以方框图形式披露公司与实际控制人之间的产权及控制关系</w:t>
      </w:r>
    </w:p>
    <w:p w:rsidR="00AB3AEE" w:rsidRDefault="00533EF0">
      <w:pPr>
        <w:autoSpaceDE w:val="0"/>
        <w:autoSpaceDN w:val="0"/>
        <w:adjustRightInd w:val="0"/>
        <w:spacing w:before="200" w:after="200"/>
        <w:jc w:val="center"/>
        <w:rPr>
          <w:rFonts w:eastAsia="Times New Roman" w:cs="Times New Roman"/>
          <w:sz w:val="24"/>
          <w:szCs w:val="24"/>
        </w:rPr>
      </w:pPr>
      <w:r>
        <w:rPr>
          <w:rFonts w:eastAsia="Times New Roman" w:cs="Times New Roman"/>
          <w:noProof/>
          <w:sz w:val="24"/>
          <w:szCs w:val="24"/>
        </w:rPr>
        <w:drawing>
          <wp:inline distT="0" distB="0" distL="0" distR="0">
            <wp:extent cx="4086225" cy="3286125"/>
            <wp:effectExtent l="0" t="0" r="9525" b="9525"/>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6225" cy="3286125"/>
                    </a:xfrm>
                    <a:prstGeom prst="rect">
                      <a:avLst/>
                    </a:prstGeom>
                    <a:noFill/>
                    <a:ln>
                      <a:noFill/>
                    </a:ln>
                    <a:effectLst/>
                  </pic:spPr>
                </pic:pic>
              </a:graphicData>
            </a:graphic>
          </wp:inline>
        </w:drawing>
      </w:r>
    </w:p>
    <w:p w:rsidR="00AB3AEE" w:rsidRDefault="008D0794">
      <w:pPr>
        <w:pStyle w:val="Chapter"/>
        <w:spacing w:before="0" w:after="0" w:line="360" w:lineRule="auto"/>
        <w:outlineLvl w:val="1"/>
        <w:rPr>
          <w:rFonts w:ascii="宋体"/>
        </w:rPr>
      </w:pPr>
      <w:r>
        <w:rPr>
          <w:rFonts w:ascii="宋体" w:hAnsi="宋体"/>
        </w:rPr>
        <w:t>5</w:t>
      </w:r>
      <w:r>
        <w:rPr>
          <w:rFonts w:ascii="宋体" w:hAnsi="宋体" w:hint="eastAsia"/>
        </w:rPr>
        <w:t>、公司债券情况</w:t>
      </w:r>
    </w:p>
    <w:p w:rsidR="00AB3AEE" w:rsidRDefault="008D0794">
      <w:pPr>
        <w:spacing w:before="0" w:after="0" w:line="360" w:lineRule="auto"/>
        <w:ind w:firstLineChars="200" w:firstLine="480"/>
        <w:jc w:val="left"/>
        <w:rPr>
          <w:sz w:val="24"/>
          <w:szCs w:val="24"/>
        </w:rPr>
      </w:pPr>
      <w:r>
        <w:rPr>
          <w:rFonts w:ascii="宋体" w:hAnsi="宋体" w:hint="eastAsia"/>
          <w:sz w:val="24"/>
          <w:szCs w:val="24"/>
        </w:rPr>
        <w:t>公司是否存在公开发行并在证券交易所上市，且在年度报告批准报出日未到期或到期未能全额兑付的公司债券：是</w:t>
      </w:r>
    </w:p>
    <w:p w:rsidR="00AB3AEE" w:rsidRDefault="008D0794">
      <w:pPr>
        <w:pStyle w:val="Chapter"/>
        <w:spacing w:before="0" w:after="0" w:line="360" w:lineRule="auto"/>
        <w:outlineLvl w:val="1"/>
        <w:rPr>
          <w:rFonts w:ascii="宋体"/>
        </w:rPr>
      </w:pPr>
      <w:r>
        <w:rPr>
          <w:rFonts w:ascii="宋体" w:hAnsi="宋体" w:hint="eastAsia"/>
        </w:rPr>
        <w:t>（</w:t>
      </w:r>
      <w:r>
        <w:rPr>
          <w:rFonts w:ascii="宋体" w:hAnsi="宋体"/>
        </w:rPr>
        <w:t>1</w:t>
      </w:r>
      <w:r>
        <w:rPr>
          <w:rFonts w:ascii="宋体" w:hAnsi="宋体" w:hint="eastAsia"/>
        </w:rPr>
        <w:t>）公司债券基本信息</w:t>
      </w:r>
    </w:p>
    <w:tbl>
      <w:tblPr>
        <w:tblW w:w="0" w:type="auto"/>
        <w:jc w:val="center"/>
        <w:tblLayout w:type="fixed"/>
        <w:tblLook w:val="0000" w:firstRow="0" w:lastRow="0" w:firstColumn="0" w:lastColumn="0" w:noHBand="0" w:noVBand="0"/>
      </w:tblPr>
      <w:tblGrid>
        <w:gridCol w:w="1595"/>
        <w:gridCol w:w="795"/>
        <w:gridCol w:w="800"/>
        <w:gridCol w:w="1384"/>
        <w:gridCol w:w="1995"/>
        <w:gridCol w:w="1403"/>
        <w:gridCol w:w="1595"/>
      </w:tblGrid>
      <w:tr w:rsidR="00AB3AEE">
        <w:trPr>
          <w:jc w:val="center"/>
        </w:trPr>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债券名称</w:t>
            </w:r>
          </w:p>
        </w:tc>
        <w:tc>
          <w:tcPr>
            <w:tcW w:w="1595"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债券简称</w:t>
            </w:r>
          </w:p>
        </w:tc>
        <w:tc>
          <w:tcPr>
            <w:tcW w:w="1384"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债券代码</w:t>
            </w:r>
          </w:p>
        </w:tc>
        <w:tc>
          <w:tcPr>
            <w:tcW w:w="199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到期日</w:t>
            </w:r>
          </w:p>
        </w:tc>
        <w:tc>
          <w:tcPr>
            <w:tcW w:w="1403"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债券余额（万元）</w:t>
            </w:r>
          </w:p>
        </w:tc>
        <w:tc>
          <w:tcPr>
            <w:tcW w:w="1595"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利率</w:t>
            </w:r>
          </w:p>
        </w:tc>
      </w:tr>
      <w:tr w:rsidR="00AB3AEE">
        <w:trPr>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hint="eastAsia"/>
                <w:sz w:val="21"/>
                <w:szCs w:val="21"/>
              </w:rPr>
              <w:t>中山公用事业集团股份有限公司</w:t>
            </w:r>
            <w:r>
              <w:rPr>
                <w:rFonts w:ascii="宋体" w:hAnsi="宋体"/>
                <w:sz w:val="21"/>
                <w:szCs w:val="21"/>
              </w:rPr>
              <w:t>2012</w:t>
            </w:r>
            <w:r>
              <w:rPr>
                <w:rFonts w:ascii="宋体" w:hAnsi="宋体" w:hint="eastAsia"/>
                <w:sz w:val="21"/>
                <w:szCs w:val="21"/>
              </w:rPr>
              <w:t>年（第一期）公司债券</w:t>
            </w:r>
          </w:p>
        </w:tc>
        <w:tc>
          <w:tcPr>
            <w:tcW w:w="15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hAnsi="宋体"/>
                <w:sz w:val="21"/>
                <w:szCs w:val="21"/>
              </w:rPr>
            </w:pPr>
            <w:r>
              <w:rPr>
                <w:rFonts w:ascii="宋体" w:hAnsi="宋体"/>
                <w:sz w:val="21"/>
                <w:szCs w:val="21"/>
              </w:rPr>
              <w:t>12</w:t>
            </w:r>
            <w:r>
              <w:rPr>
                <w:rFonts w:ascii="宋体" w:hAnsi="宋体" w:hint="eastAsia"/>
                <w:sz w:val="21"/>
                <w:szCs w:val="21"/>
              </w:rPr>
              <w:t>中山</w:t>
            </w:r>
            <w:r>
              <w:rPr>
                <w:rFonts w:ascii="宋体" w:hAnsi="宋体"/>
                <w:sz w:val="21"/>
                <w:szCs w:val="21"/>
              </w:rPr>
              <w:t>01</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hAnsi="宋体"/>
                <w:sz w:val="21"/>
                <w:szCs w:val="21"/>
              </w:rPr>
            </w:pPr>
            <w:r>
              <w:rPr>
                <w:rFonts w:ascii="宋体" w:hAnsi="宋体"/>
                <w:sz w:val="21"/>
                <w:szCs w:val="21"/>
              </w:rPr>
              <w:t>112123</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sz w:val="21"/>
                <w:szCs w:val="21"/>
              </w:rPr>
              <w:t>2019</w:t>
            </w:r>
            <w:r>
              <w:rPr>
                <w:rFonts w:ascii="宋体" w:hAnsi="宋体" w:hint="eastAsia"/>
                <w:sz w:val="21"/>
                <w:szCs w:val="21"/>
              </w:rPr>
              <w:t>年</w:t>
            </w:r>
            <w:r>
              <w:rPr>
                <w:rFonts w:ascii="宋体" w:hAnsi="宋体"/>
                <w:sz w:val="21"/>
                <w:szCs w:val="21"/>
              </w:rPr>
              <w:t>10</w:t>
            </w:r>
            <w:r>
              <w:rPr>
                <w:rFonts w:ascii="宋体" w:hAnsi="宋体" w:hint="eastAsia"/>
                <w:sz w:val="21"/>
                <w:szCs w:val="21"/>
              </w:rPr>
              <w:t>月</w:t>
            </w:r>
            <w:r>
              <w:rPr>
                <w:rFonts w:ascii="宋体" w:hAnsi="宋体"/>
                <w:sz w:val="21"/>
                <w:szCs w:val="21"/>
              </w:rPr>
              <w:t>29</w:t>
            </w:r>
            <w:r>
              <w:rPr>
                <w:rFonts w:ascii="宋体" w:hAnsi="宋体" w:hint="eastAsia"/>
                <w:sz w:val="21"/>
                <w:szCs w:val="21"/>
              </w:rPr>
              <w:t>日</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100,000</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5.50%</w:t>
            </w:r>
          </w:p>
        </w:tc>
      </w:tr>
      <w:tr w:rsidR="00AB3AEE">
        <w:trPr>
          <w:jc w:val="center"/>
        </w:trPr>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hint="eastAsia"/>
                <w:sz w:val="21"/>
                <w:szCs w:val="21"/>
              </w:rPr>
              <w:t>中山公用事业集团股份有限公司</w:t>
            </w:r>
            <w:r>
              <w:rPr>
                <w:rFonts w:ascii="宋体" w:hAnsi="宋体"/>
                <w:sz w:val="21"/>
                <w:szCs w:val="21"/>
              </w:rPr>
              <w:t>2014</w:t>
            </w:r>
            <w:r>
              <w:rPr>
                <w:rFonts w:ascii="宋体" w:hAnsi="宋体" w:hint="eastAsia"/>
                <w:sz w:val="21"/>
                <w:szCs w:val="21"/>
              </w:rPr>
              <w:t>年公司债券</w:t>
            </w:r>
          </w:p>
        </w:tc>
        <w:tc>
          <w:tcPr>
            <w:tcW w:w="15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sz w:val="21"/>
                <w:szCs w:val="21"/>
              </w:rPr>
              <w:t>14</w:t>
            </w:r>
            <w:r>
              <w:rPr>
                <w:rFonts w:ascii="宋体" w:hAnsi="宋体" w:hint="eastAsia"/>
                <w:sz w:val="21"/>
                <w:szCs w:val="21"/>
              </w:rPr>
              <w:t>中山债</w:t>
            </w:r>
          </w:p>
        </w:tc>
        <w:tc>
          <w:tcPr>
            <w:tcW w:w="1384"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hAnsi="宋体"/>
                <w:sz w:val="21"/>
                <w:szCs w:val="21"/>
              </w:rPr>
            </w:pPr>
            <w:r>
              <w:rPr>
                <w:rFonts w:ascii="宋体" w:hAnsi="宋体"/>
                <w:sz w:val="21"/>
                <w:szCs w:val="21"/>
              </w:rPr>
              <w:t>112212</w:t>
            </w:r>
          </w:p>
        </w:tc>
        <w:tc>
          <w:tcPr>
            <w:tcW w:w="1995"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sz w:val="21"/>
                <w:szCs w:val="21"/>
              </w:rPr>
              <w:t>2017</w:t>
            </w:r>
            <w:r>
              <w:rPr>
                <w:rFonts w:ascii="宋体" w:hAnsi="宋体" w:hint="eastAsia"/>
                <w:sz w:val="21"/>
                <w:szCs w:val="21"/>
              </w:rPr>
              <w:t>年</w:t>
            </w:r>
            <w:r>
              <w:rPr>
                <w:rFonts w:ascii="宋体" w:hAnsi="宋体"/>
                <w:sz w:val="21"/>
                <w:szCs w:val="21"/>
              </w:rPr>
              <w:t>07</w:t>
            </w:r>
            <w:r>
              <w:rPr>
                <w:rFonts w:ascii="宋体" w:hAnsi="宋体" w:hint="eastAsia"/>
                <w:sz w:val="21"/>
                <w:szCs w:val="21"/>
              </w:rPr>
              <w:t>月</w:t>
            </w:r>
            <w:r>
              <w:rPr>
                <w:rFonts w:ascii="宋体" w:hAnsi="宋体"/>
                <w:sz w:val="21"/>
                <w:szCs w:val="21"/>
              </w:rPr>
              <w:t>03</w:t>
            </w:r>
            <w:r>
              <w:rPr>
                <w:rFonts w:ascii="宋体" w:hAnsi="宋体" w:hint="eastAsia"/>
                <w:sz w:val="21"/>
                <w:szCs w:val="21"/>
              </w:rPr>
              <w:t>日</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80,000</w:t>
            </w:r>
          </w:p>
        </w:tc>
        <w:tc>
          <w:tcPr>
            <w:tcW w:w="1595"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5.75%</w:t>
            </w:r>
          </w:p>
        </w:tc>
      </w:tr>
      <w:tr w:rsidR="00AB3AEE">
        <w:trPr>
          <w:jc w:val="center"/>
        </w:trPr>
        <w:tc>
          <w:tcPr>
            <w:tcW w:w="2390" w:type="dxa"/>
            <w:gridSpan w:val="2"/>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报告期内公司债券的付息兑付情况</w:t>
            </w:r>
          </w:p>
        </w:tc>
        <w:tc>
          <w:tcPr>
            <w:tcW w:w="7177" w:type="dxa"/>
            <w:gridSpan w:val="5"/>
            <w:tcBorders>
              <w:top w:val="single" w:sz="4" w:space="0" w:color="auto"/>
              <w:left w:val="single" w:sz="4" w:space="0" w:color="auto"/>
              <w:bottom w:val="single" w:sz="4" w:space="0" w:color="auto"/>
              <w:right w:val="single" w:sz="4" w:space="0" w:color="auto"/>
            </w:tcBorders>
            <w:vAlign w:val="center"/>
          </w:tcPr>
          <w:p w:rsidR="00AB3AEE" w:rsidRDefault="008D0794">
            <w:pPr>
              <w:jc w:val="left"/>
              <w:rPr>
                <w:rFonts w:ascii="宋体"/>
                <w:sz w:val="21"/>
                <w:szCs w:val="21"/>
              </w:rPr>
            </w:pPr>
            <w:r>
              <w:rPr>
                <w:rFonts w:ascii="宋体" w:hAnsi="宋体"/>
                <w:sz w:val="21"/>
                <w:szCs w:val="21"/>
              </w:rPr>
              <w:t>1</w:t>
            </w:r>
            <w:r>
              <w:rPr>
                <w:rFonts w:ascii="宋体" w:hAnsi="宋体" w:hint="eastAsia"/>
                <w:sz w:val="21"/>
                <w:szCs w:val="21"/>
              </w:rPr>
              <w:t>、公司于</w:t>
            </w:r>
            <w:r>
              <w:rPr>
                <w:rFonts w:ascii="宋体" w:hAnsi="宋体"/>
                <w:sz w:val="21"/>
                <w:szCs w:val="21"/>
              </w:rPr>
              <w:t>2017</w:t>
            </w:r>
            <w:r>
              <w:rPr>
                <w:rFonts w:ascii="宋体" w:hAnsi="宋体" w:hint="eastAsia"/>
                <w:sz w:val="21"/>
                <w:szCs w:val="21"/>
              </w:rPr>
              <w:t>年</w:t>
            </w:r>
            <w:r>
              <w:rPr>
                <w:rFonts w:ascii="宋体" w:hAnsi="宋体"/>
                <w:sz w:val="21"/>
                <w:szCs w:val="21"/>
              </w:rPr>
              <w:t>7</w:t>
            </w:r>
            <w:r>
              <w:rPr>
                <w:rFonts w:ascii="宋体" w:hAnsi="宋体" w:hint="eastAsia"/>
                <w:sz w:val="21"/>
                <w:szCs w:val="21"/>
              </w:rPr>
              <w:t>月</w:t>
            </w:r>
            <w:r>
              <w:rPr>
                <w:rFonts w:ascii="宋体" w:hAnsi="宋体"/>
                <w:sz w:val="21"/>
                <w:szCs w:val="21"/>
              </w:rPr>
              <w:t>3</w:t>
            </w:r>
            <w:r>
              <w:rPr>
                <w:rFonts w:ascii="宋体" w:hAnsi="宋体" w:hint="eastAsia"/>
                <w:sz w:val="21"/>
                <w:szCs w:val="21"/>
              </w:rPr>
              <w:t>日支付</w:t>
            </w:r>
            <w:r>
              <w:rPr>
                <w:rFonts w:ascii="宋体" w:hAnsi="宋体"/>
                <w:sz w:val="21"/>
                <w:szCs w:val="21"/>
              </w:rPr>
              <w:t>2014</w:t>
            </w:r>
            <w:r>
              <w:rPr>
                <w:rFonts w:ascii="宋体" w:hAnsi="宋体" w:hint="eastAsia"/>
                <w:sz w:val="21"/>
                <w:szCs w:val="21"/>
              </w:rPr>
              <w:t>年公司债券</w:t>
            </w:r>
            <w:r>
              <w:rPr>
                <w:rFonts w:ascii="宋体" w:hAnsi="宋体"/>
                <w:sz w:val="21"/>
                <w:szCs w:val="21"/>
              </w:rPr>
              <w:t>2016</w:t>
            </w:r>
            <w:r>
              <w:rPr>
                <w:rFonts w:ascii="宋体" w:hAnsi="宋体" w:hint="eastAsia"/>
                <w:sz w:val="21"/>
                <w:szCs w:val="21"/>
              </w:rPr>
              <w:t>年</w:t>
            </w:r>
            <w:r>
              <w:rPr>
                <w:rFonts w:ascii="宋体" w:hAnsi="宋体"/>
                <w:sz w:val="21"/>
                <w:szCs w:val="21"/>
              </w:rPr>
              <w:t>7</w:t>
            </w:r>
            <w:r>
              <w:rPr>
                <w:rFonts w:ascii="宋体" w:hAnsi="宋体" w:hint="eastAsia"/>
                <w:sz w:val="21"/>
                <w:szCs w:val="21"/>
              </w:rPr>
              <w:t>月</w:t>
            </w:r>
            <w:r>
              <w:rPr>
                <w:rFonts w:ascii="宋体" w:hAnsi="宋体"/>
                <w:sz w:val="21"/>
                <w:szCs w:val="21"/>
              </w:rPr>
              <w:t>3</w:t>
            </w:r>
            <w:r>
              <w:rPr>
                <w:rFonts w:ascii="宋体" w:hAnsi="宋体" w:hint="eastAsia"/>
                <w:sz w:val="21"/>
                <w:szCs w:val="21"/>
              </w:rPr>
              <w:t>日至</w:t>
            </w:r>
            <w:r>
              <w:rPr>
                <w:rFonts w:ascii="宋体" w:hAnsi="宋体"/>
                <w:sz w:val="21"/>
                <w:szCs w:val="21"/>
              </w:rPr>
              <w:t>2017</w:t>
            </w:r>
            <w:r>
              <w:rPr>
                <w:rFonts w:ascii="宋体" w:hAnsi="宋体" w:hint="eastAsia"/>
                <w:sz w:val="21"/>
                <w:szCs w:val="21"/>
              </w:rPr>
              <w:t>年</w:t>
            </w:r>
            <w:r>
              <w:rPr>
                <w:rFonts w:ascii="宋体" w:hAnsi="宋体"/>
                <w:sz w:val="21"/>
                <w:szCs w:val="21"/>
              </w:rPr>
              <w:t>7</w:t>
            </w:r>
            <w:r>
              <w:rPr>
                <w:rFonts w:ascii="宋体" w:hAnsi="宋体" w:hint="eastAsia"/>
                <w:sz w:val="21"/>
                <w:szCs w:val="21"/>
              </w:rPr>
              <w:t>月</w:t>
            </w:r>
            <w:r>
              <w:rPr>
                <w:rFonts w:ascii="宋体" w:hAnsi="宋体"/>
                <w:sz w:val="21"/>
                <w:szCs w:val="21"/>
              </w:rPr>
              <w:t>2</w:t>
            </w:r>
            <w:r>
              <w:rPr>
                <w:rFonts w:ascii="宋体" w:hAnsi="宋体" w:hint="eastAsia"/>
                <w:sz w:val="21"/>
                <w:szCs w:val="21"/>
              </w:rPr>
              <w:t>日期间的利息</w:t>
            </w:r>
            <w:r>
              <w:rPr>
                <w:rFonts w:ascii="宋体" w:hAnsi="宋体"/>
                <w:sz w:val="21"/>
                <w:szCs w:val="21"/>
              </w:rPr>
              <w:t>4,600</w:t>
            </w:r>
            <w:r>
              <w:rPr>
                <w:rFonts w:ascii="宋体" w:hAnsi="宋体" w:hint="eastAsia"/>
                <w:sz w:val="21"/>
                <w:szCs w:val="21"/>
              </w:rPr>
              <w:t>万元及</w:t>
            </w:r>
            <w:r>
              <w:rPr>
                <w:rFonts w:ascii="宋体" w:hAnsi="宋体"/>
                <w:sz w:val="21"/>
                <w:szCs w:val="21"/>
              </w:rPr>
              <w:t>2014</w:t>
            </w:r>
            <w:r>
              <w:rPr>
                <w:rFonts w:ascii="宋体" w:hAnsi="宋体" w:hint="eastAsia"/>
                <w:sz w:val="21"/>
                <w:szCs w:val="21"/>
              </w:rPr>
              <w:t>年公司债券本金</w:t>
            </w:r>
            <w:r>
              <w:rPr>
                <w:rFonts w:ascii="宋体" w:hAnsi="宋体"/>
                <w:sz w:val="21"/>
                <w:szCs w:val="21"/>
              </w:rPr>
              <w:t>80,000</w:t>
            </w:r>
            <w:r>
              <w:rPr>
                <w:rFonts w:ascii="宋体" w:hAnsi="宋体" w:hint="eastAsia"/>
                <w:sz w:val="21"/>
                <w:szCs w:val="21"/>
              </w:rPr>
              <w:t>万元。</w:t>
            </w:r>
            <w:r>
              <w:rPr>
                <w:rFonts w:ascii="宋体" w:hAnsi="宋体"/>
                <w:sz w:val="21"/>
                <w:szCs w:val="21"/>
              </w:rPr>
              <w:t>2</w:t>
            </w:r>
            <w:r>
              <w:rPr>
                <w:rFonts w:ascii="宋体" w:hAnsi="宋体" w:hint="eastAsia"/>
                <w:sz w:val="21"/>
                <w:szCs w:val="21"/>
              </w:rPr>
              <w:t>、公司于</w:t>
            </w:r>
            <w:r>
              <w:rPr>
                <w:rFonts w:ascii="宋体" w:hAnsi="宋体"/>
                <w:sz w:val="21"/>
                <w:szCs w:val="21"/>
              </w:rPr>
              <w:t>2017</w:t>
            </w:r>
            <w:r>
              <w:rPr>
                <w:rFonts w:ascii="宋体" w:hAnsi="宋体" w:hint="eastAsia"/>
                <w:sz w:val="21"/>
                <w:szCs w:val="21"/>
              </w:rPr>
              <w:t>年</w:t>
            </w:r>
            <w:r>
              <w:rPr>
                <w:rFonts w:ascii="宋体" w:hAnsi="宋体"/>
                <w:sz w:val="21"/>
                <w:szCs w:val="21"/>
              </w:rPr>
              <w:t>10</w:t>
            </w:r>
            <w:r>
              <w:rPr>
                <w:rFonts w:ascii="宋体" w:hAnsi="宋体" w:hint="eastAsia"/>
                <w:sz w:val="21"/>
                <w:szCs w:val="21"/>
              </w:rPr>
              <w:t>月</w:t>
            </w:r>
            <w:r>
              <w:rPr>
                <w:rFonts w:ascii="宋体" w:hAnsi="宋体"/>
                <w:sz w:val="21"/>
                <w:szCs w:val="21"/>
              </w:rPr>
              <w:t>30</w:t>
            </w:r>
            <w:r>
              <w:rPr>
                <w:rFonts w:ascii="宋体" w:hAnsi="宋体" w:hint="eastAsia"/>
                <w:sz w:val="21"/>
                <w:szCs w:val="21"/>
              </w:rPr>
              <w:t>日支付</w:t>
            </w:r>
            <w:r>
              <w:rPr>
                <w:rFonts w:ascii="宋体" w:hAnsi="宋体"/>
                <w:sz w:val="21"/>
                <w:szCs w:val="21"/>
              </w:rPr>
              <w:t>2012</w:t>
            </w:r>
            <w:r>
              <w:rPr>
                <w:rFonts w:ascii="宋体" w:hAnsi="宋体" w:hint="eastAsia"/>
                <w:sz w:val="21"/>
                <w:szCs w:val="21"/>
              </w:rPr>
              <w:t>年公（第一期）司债券</w:t>
            </w:r>
            <w:r>
              <w:rPr>
                <w:rFonts w:ascii="宋体" w:hAnsi="宋体"/>
                <w:sz w:val="21"/>
                <w:szCs w:val="21"/>
              </w:rPr>
              <w:t>2016</w:t>
            </w:r>
            <w:r>
              <w:rPr>
                <w:rFonts w:ascii="宋体" w:hAnsi="宋体" w:hint="eastAsia"/>
                <w:sz w:val="21"/>
                <w:szCs w:val="21"/>
              </w:rPr>
              <w:t>年</w:t>
            </w:r>
            <w:r>
              <w:rPr>
                <w:rFonts w:ascii="宋体" w:hAnsi="宋体"/>
                <w:sz w:val="21"/>
                <w:szCs w:val="21"/>
              </w:rPr>
              <w:t>10</w:t>
            </w:r>
            <w:r>
              <w:rPr>
                <w:rFonts w:ascii="宋体" w:hAnsi="宋体" w:hint="eastAsia"/>
                <w:sz w:val="21"/>
                <w:szCs w:val="21"/>
              </w:rPr>
              <w:t>月</w:t>
            </w:r>
            <w:r>
              <w:rPr>
                <w:rFonts w:ascii="宋体" w:hAnsi="宋体"/>
                <w:sz w:val="21"/>
                <w:szCs w:val="21"/>
              </w:rPr>
              <w:t>29</w:t>
            </w:r>
            <w:r>
              <w:rPr>
                <w:rFonts w:ascii="宋体" w:hAnsi="宋体" w:hint="eastAsia"/>
                <w:sz w:val="21"/>
                <w:szCs w:val="21"/>
              </w:rPr>
              <w:t>日至</w:t>
            </w:r>
            <w:r>
              <w:rPr>
                <w:rFonts w:ascii="宋体" w:hAnsi="宋体"/>
                <w:sz w:val="21"/>
                <w:szCs w:val="21"/>
              </w:rPr>
              <w:t>2017</w:t>
            </w:r>
            <w:r>
              <w:rPr>
                <w:rFonts w:ascii="宋体" w:hAnsi="宋体" w:hint="eastAsia"/>
                <w:sz w:val="21"/>
                <w:szCs w:val="21"/>
              </w:rPr>
              <w:t>年</w:t>
            </w:r>
            <w:r>
              <w:rPr>
                <w:rFonts w:ascii="宋体" w:hAnsi="宋体"/>
                <w:sz w:val="21"/>
                <w:szCs w:val="21"/>
              </w:rPr>
              <w:t>10</w:t>
            </w:r>
            <w:r>
              <w:rPr>
                <w:rFonts w:ascii="宋体" w:hAnsi="宋体" w:hint="eastAsia"/>
                <w:sz w:val="21"/>
                <w:szCs w:val="21"/>
              </w:rPr>
              <w:t>月</w:t>
            </w:r>
            <w:r>
              <w:rPr>
                <w:rFonts w:ascii="宋体" w:hAnsi="宋体"/>
                <w:sz w:val="21"/>
                <w:szCs w:val="21"/>
              </w:rPr>
              <w:t>28</w:t>
            </w:r>
            <w:r>
              <w:rPr>
                <w:rFonts w:ascii="宋体" w:hAnsi="宋体" w:hint="eastAsia"/>
                <w:sz w:val="21"/>
                <w:szCs w:val="21"/>
              </w:rPr>
              <w:t>日期间的利息</w:t>
            </w:r>
            <w:r>
              <w:rPr>
                <w:rFonts w:ascii="宋体" w:hAnsi="宋体"/>
                <w:sz w:val="21"/>
                <w:szCs w:val="21"/>
              </w:rPr>
              <w:t>5,500</w:t>
            </w:r>
            <w:r>
              <w:rPr>
                <w:rFonts w:ascii="宋体" w:hAnsi="宋体" w:hint="eastAsia"/>
                <w:sz w:val="21"/>
                <w:szCs w:val="21"/>
              </w:rPr>
              <w:t>万元。</w:t>
            </w:r>
            <w:r>
              <w:rPr>
                <w:rFonts w:ascii="宋体" w:hAnsi="宋体" w:hint="eastAsia"/>
                <w:kern w:val="0"/>
                <w:sz w:val="21"/>
                <w:szCs w:val="21"/>
              </w:rPr>
              <w:t>另外，公司根据《中山公用事业集团股份有限公司公开发行</w:t>
            </w:r>
            <w:r>
              <w:rPr>
                <w:rFonts w:ascii="宋体" w:hAnsi="宋体"/>
                <w:kern w:val="0"/>
                <w:sz w:val="21"/>
                <w:szCs w:val="21"/>
              </w:rPr>
              <w:t>2012</w:t>
            </w:r>
            <w:r>
              <w:rPr>
                <w:rFonts w:ascii="宋体" w:hAnsi="宋体" w:hint="eastAsia"/>
                <w:kern w:val="0"/>
                <w:sz w:val="21"/>
                <w:szCs w:val="21"/>
              </w:rPr>
              <w:t>年（第一期）公司债券募集说明书》中设定的回售条款</w:t>
            </w:r>
            <w:r>
              <w:rPr>
                <w:rFonts w:ascii="宋体" w:hAnsi="宋体"/>
                <w:kern w:val="0"/>
                <w:sz w:val="21"/>
                <w:szCs w:val="21"/>
              </w:rPr>
              <w:t>,</w:t>
            </w:r>
            <w:r>
              <w:rPr>
                <w:rFonts w:ascii="宋体" w:hAnsi="宋体" w:hint="eastAsia"/>
                <w:kern w:val="0"/>
                <w:sz w:val="21"/>
                <w:szCs w:val="21"/>
              </w:rPr>
              <w:t>于</w:t>
            </w:r>
            <w:r>
              <w:rPr>
                <w:rFonts w:ascii="宋体" w:hAnsi="宋体"/>
                <w:kern w:val="0"/>
                <w:sz w:val="21"/>
                <w:szCs w:val="21"/>
              </w:rPr>
              <w:t>2017</w:t>
            </w:r>
            <w:r>
              <w:rPr>
                <w:rFonts w:ascii="宋体" w:hAnsi="宋体" w:hint="eastAsia"/>
                <w:kern w:val="0"/>
                <w:sz w:val="21"/>
                <w:szCs w:val="21"/>
              </w:rPr>
              <w:t>年</w:t>
            </w:r>
            <w:r>
              <w:rPr>
                <w:rFonts w:ascii="宋体" w:hAnsi="宋体"/>
                <w:kern w:val="0"/>
                <w:sz w:val="21"/>
                <w:szCs w:val="21"/>
              </w:rPr>
              <w:t>10</w:t>
            </w:r>
            <w:r>
              <w:rPr>
                <w:rFonts w:ascii="宋体" w:hAnsi="宋体" w:hint="eastAsia"/>
                <w:kern w:val="0"/>
                <w:sz w:val="21"/>
                <w:szCs w:val="21"/>
              </w:rPr>
              <w:t>月</w:t>
            </w:r>
            <w:r>
              <w:rPr>
                <w:rFonts w:ascii="宋体" w:hAnsi="宋体"/>
                <w:kern w:val="0"/>
                <w:sz w:val="21"/>
                <w:szCs w:val="21"/>
              </w:rPr>
              <w:t>30</w:t>
            </w:r>
            <w:r>
              <w:rPr>
                <w:rFonts w:ascii="宋体" w:hAnsi="宋体" w:hint="eastAsia"/>
                <w:kern w:val="0"/>
                <w:sz w:val="21"/>
                <w:szCs w:val="21"/>
              </w:rPr>
              <w:t>日支付了面值为</w:t>
            </w:r>
            <w:r>
              <w:rPr>
                <w:rFonts w:ascii="宋体" w:hAnsi="宋体"/>
                <w:kern w:val="0"/>
                <w:sz w:val="21"/>
                <w:szCs w:val="21"/>
              </w:rPr>
              <w:t>5,000.00</w:t>
            </w:r>
            <w:r>
              <w:rPr>
                <w:rFonts w:ascii="宋体" w:hAnsi="宋体" w:hint="eastAsia"/>
                <w:kern w:val="0"/>
                <w:sz w:val="21"/>
                <w:szCs w:val="21"/>
              </w:rPr>
              <w:t>元债券本金给选择回售债券的投资者。</w:t>
            </w:r>
          </w:p>
        </w:tc>
      </w:tr>
    </w:tbl>
    <w:p w:rsidR="00AB3AEE" w:rsidRDefault="008D0794">
      <w:pPr>
        <w:pStyle w:val="Chapter"/>
        <w:spacing w:before="0" w:after="0" w:line="360" w:lineRule="auto"/>
        <w:outlineLvl w:val="1"/>
        <w:rPr>
          <w:rFonts w:ascii="宋体"/>
        </w:rPr>
      </w:pPr>
      <w:r>
        <w:rPr>
          <w:rFonts w:ascii="宋体" w:hAnsi="宋体" w:hint="eastAsia"/>
        </w:rPr>
        <w:t>（</w:t>
      </w:r>
      <w:r>
        <w:rPr>
          <w:rFonts w:ascii="宋体" w:hAnsi="宋体"/>
        </w:rPr>
        <w:t>2</w:t>
      </w:r>
      <w:r>
        <w:rPr>
          <w:rFonts w:ascii="宋体" w:hAnsi="宋体" w:hint="eastAsia"/>
        </w:rPr>
        <w:t>）公司债券最新跟踪评级及评级变化情况</w:t>
      </w:r>
    </w:p>
    <w:p w:rsidR="00AB3AEE" w:rsidRDefault="008D0794">
      <w:pPr>
        <w:autoSpaceDE w:val="0"/>
        <w:autoSpaceDN w:val="0"/>
        <w:adjustRightInd w:val="0"/>
        <w:spacing w:before="0" w:after="0" w:line="360" w:lineRule="auto"/>
        <w:ind w:firstLineChars="200" w:firstLine="480"/>
        <w:jc w:val="left"/>
        <w:rPr>
          <w:rFonts w:ascii="宋体"/>
          <w:sz w:val="24"/>
          <w:szCs w:val="24"/>
          <w:lang w:val="zh-CN"/>
        </w:rPr>
      </w:pPr>
      <w:r>
        <w:rPr>
          <w:rFonts w:ascii="宋体" w:hint="eastAsia"/>
          <w:sz w:val="24"/>
          <w:szCs w:val="24"/>
          <w:lang w:val="zh-CN"/>
        </w:rPr>
        <w:t>报告期内，中诚信证券评估有限公司于</w:t>
      </w:r>
      <w:r>
        <w:rPr>
          <w:rFonts w:ascii="宋体"/>
          <w:sz w:val="24"/>
          <w:szCs w:val="24"/>
          <w:lang w:val="zh-CN"/>
        </w:rPr>
        <w:t>2017</w:t>
      </w:r>
      <w:r>
        <w:rPr>
          <w:rFonts w:ascii="宋体" w:hint="eastAsia"/>
          <w:sz w:val="24"/>
          <w:szCs w:val="24"/>
          <w:lang w:val="zh-CN"/>
        </w:rPr>
        <w:t>年</w:t>
      </w:r>
      <w:r>
        <w:rPr>
          <w:rFonts w:ascii="宋体"/>
          <w:sz w:val="24"/>
          <w:szCs w:val="24"/>
          <w:lang w:val="zh-CN"/>
        </w:rPr>
        <w:t>6</w:t>
      </w:r>
      <w:r>
        <w:rPr>
          <w:rFonts w:ascii="宋体" w:hint="eastAsia"/>
          <w:sz w:val="24"/>
          <w:szCs w:val="24"/>
          <w:lang w:val="zh-CN"/>
        </w:rPr>
        <w:t>月</w:t>
      </w:r>
      <w:r>
        <w:rPr>
          <w:rFonts w:ascii="宋体"/>
          <w:sz w:val="24"/>
          <w:szCs w:val="24"/>
          <w:lang w:val="zh-CN"/>
        </w:rPr>
        <w:t>21</w:t>
      </w:r>
      <w:r>
        <w:rPr>
          <w:rFonts w:ascii="宋体" w:hint="eastAsia"/>
          <w:sz w:val="24"/>
          <w:szCs w:val="24"/>
          <w:lang w:val="zh-CN"/>
        </w:rPr>
        <w:t>日在巨潮资讯网公告《中山公用事业集团股份有限公司</w:t>
      </w:r>
      <w:r>
        <w:rPr>
          <w:rFonts w:ascii="宋体"/>
          <w:sz w:val="24"/>
          <w:szCs w:val="24"/>
          <w:lang w:val="zh-CN"/>
        </w:rPr>
        <w:t>2012</w:t>
      </w:r>
      <w:r>
        <w:rPr>
          <w:rFonts w:ascii="宋体" w:hint="eastAsia"/>
          <w:sz w:val="24"/>
          <w:szCs w:val="24"/>
          <w:lang w:val="zh-CN"/>
        </w:rPr>
        <w:t>年公司债券（第一期）跟踪评级报告》和《中山公用事业集团股份有限公司</w:t>
      </w:r>
      <w:r>
        <w:rPr>
          <w:rFonts w:ascii="宋体"/>
          <w:sz w:val="24"/>
          <w:szCs w:val="24"/>
          <w:lang w:val="zh-CN"/>
        </w:rPr>
        <w:t>2014</w:t>
      </w:r>
      <w:r>
        <w:rPr>
          <w:rFonts w:ascii="宋体" w:hint="eastAsia"/>
          <w:sz w:val="24"/>
          <w:szCs w:val="24"/>
          <w:lang w:val="zh-CN"/>
        </w:rPr>
        <w:t>年公司债券跟踪评级报告》，两期债券信用等级维持为</w:t>
      </w:r>
      <w:r>
        <w:rPr>
          <w:rFonts w:ascii="宋体"/>
          <w:sz w:val="24"/>
          <w:szCs w:val="24"/>
          <w:lang w:val="zh-CN"/>
        </w:rPr>
        <w:t>AA+</w:t>
      </w:r>
      <w:r>
        <w:rPr>
          <w:rFonts w:ascii="宋体" w:hint="eastAsia"/>
          <w:sz w:val="24"/>
          <w:szCs w:val="24"/>
          <w:lang w:val="zh-CN"/>
        </w:rPr>
        <w:t>，发行主体长期信用等级维持为</w:t>
      </w:r>
      <w:r>
        <w:rPr>
          <w:rFonts w:ascii="宋体"/>
          <w:sz w:val="24"/>
          <w:szCs w:val="24"/>
          <w:lang w:val="zh-CN"/>
        </w:rPr>
        <w:t>AA+</w:t>
      </w:r>
      <w:r>
        <w:rPr>
          <w:rFonts w:ascii="宋体" w:hint="eastAsia"/>
          <w:sz w:val="24"/>
          <w:szCs w:val="24"/>
          <w:lang w:val="zh-CN"/>
        </w:rPr>
        <w:t>，评级展望维持为稳定。</w:t>
      </w:r>
    </w:p>
    <w:p w:rsidR="00AB3AEE" w:rsidRDefault="008D0794">
      <w:pPr>
        <w:autoSpaceDE w:val="0"/>
        <w:autoSpaceDN w:val="0"/>
        <w:adjustRightInd w:val="0"/>
        <w:spacing w:before="0" w:after="0" w:line="360" w:lineRule="auto"/>
        <w:ind w:firstLineChars="200" w:firstLine="480"/>
        <w:jc w:val="left"/>
        <w:rPr>
          <w:rFonts w:ascii="宋体"/>
          <w:sz w:val="24"/>
          <w:szCs w:val="24"/>
          <w:lang w:val="zh-CN"/>
        </w:rPr>
      </w:pPr>
      <w:r>
        <w:rPr>
          <w:rFonts w:ascii="宋体" w:hint="eastAsia"/>
          <w:sz w:val="24"/>
          <w:szCs w:val="24"/>
          <w:lang w:val="zh-CN"/>
        </w:rPr>
        <w:t>中诚信证券评估有限公司将于公司</w:t>
      </w:r>
      <w:r>
        <w:rPr>
          <w:rFonts w:ascii="宋体"/>
          <w:sz w:val="24"/>
          <w:szCs w:val="24"/>
          <w:lang w:val="zh-CN"/>
        </w:rPr>
        <w:t>2017</w:t>
      </w:r>
      <w:r>
        <w:rPr>
          <w:rFonts w:ascii="宋体" w:hint="eastAsia"/>
          <w:sz w:val="24"/>
          <w:szCs w:val="24"/>
          <w:lang w:val="zh-CN"/>
        </w:rPr>
        <w:t>年年度报告公布后两个月内完成该年度的定期跟踪评级，并在巨潮资讯网及评级公司网站上发布定期跟踪评级结果及报告，请投资者关注。</w:t>
      </w:r>
    </w:p>
    <w:p w:rsidR="00AB3AEE" w:rsidRDefault="008D0794">
      <w:pPr>
        <w:pStyle w:val="Chapter"/>
        <w:spacing w:before="0" w:after="0" w:line="360" w:lineRule="auto"/>
        <w:outlineLvl w:val="1"/>
        <w:rPr>
          <w:rFonts w:ascii="宋体"/>
        </w:rPr>
      </w:pPr>
      <w:r>
        <w:rPr>
          <w:rFonts w:ascii="宋体" w:hAnsi="宋体" w:hint="eastAsia"/>
        </w:rPr>
        <w:t>（</w:t>
      </w:r>
      <w:r>
        <w:rPr>
          <w:rFonts w:ascii="宋体" w:hAnsi="宋体"/>
        </w:rPr>
        <w:t>3</w:t>
      </w:r>
      <w:r>
        <w:rPr>
          <w:rFonts w:ascii="宋体" w:hAnsi="宋体" w:hint="eastAsia"/>
        </w:rPr>
        <w:t>）截至报告期末公司近</w:t>
      </w:r>
      <w:r>
        <w:rPr>
          <w:rFonts w:ascii="宋体" w:hAnsi="宋体"/>
        </w:rPr>
        <w:t>2</w:t>
      </w:r>
      <w:r>
        <w:rPr>
          <w:rFonts w:ascii="宋体" w:hAnsi="宋体" w:hint="eastAsia"/>
        </w:rPr>
        <w:t>年的主要会计数据和财务指标</w:t>
      </w:r>
    </w:p>
    <w:p w:rsidR="00AB3AEE" w:rsidRDefault="008D0794">
      <w:pPr>
        <w:jc w:val="right"/>
        <w:rPr>
          <w:rFonts w:cs="Times New Roman"/>
        </w:rPr>
      </w:pPr>
      <w:r>
        <w:rPr>
          <w:rFonts w:hint="eastAsia"/>
          <w:sz w:val="24"/>
          <w:szCs w:val="24"/>
        </w:rPr>
        <w:t>单位：万元</w:t>
      </w:r>
    </w:p>
    <w:tbl>
      <w:tblPr>
        <w:tblW w:w="0" w:type="auto"/>
        <w:jc w:val="center"/>
        <w:tblLayout w:type="fixed"/>
        <w:tblLook w:val="0000" w:firstRow="0" w:lastRow="0" w:firstColumn="0" w:lastColumn="0" w:noHBand="0" w:noVBand="0"/>
      </w:tblPr>
      <w:tblGrid>
        <w:gridCol w:w="2392"/>
        <w:gridCol w:w="2392"/>
        <w:gridCol w:w="2392"/>
        <w:gridCol w:w="2392"/>
      </w:tblGrid>
      <w:tr w:rsidR="00AB3AEE">
        <w:trPr>
          <w:jc w:val="center"/>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项目</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sz w:val="21"/>
                <w:szCs w:val="21"/>
              </w:rPr>
              <w:t>2017</w:t>
            </w:r>
            <w:r>
              <w:rPr>
                <w:rFonts w:ascii="宋体" w:hAnsi="宋体" w:hint="eastAsia"/>
                <w:sz w:val="21"/>
                <w:szCs w:val="21"/>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sz w:val="21"/>
                <w:szCs w:val="21"/>
              </w:rPr>
              <w:t>2016</w:t>
            </w:r>
            <w:r>
              <w:rPr>
                <w:rFonts w:ascii="宋体" w:hAnsi="宋体" w:hint="eastAsia"/>
                <w:sz w:val="21"/>
                <w:szCs w:val="21"/>
              </w:rPr>
              <w:t>年</w:t>
            </w:r>
          </w:p>
        </w:tc>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同期变动率</w:t>
            </w:r>
          </w:p>
        </w:tc>
      </w:tr>
      <w:tr w:rsidR="00AB3AEE">
        <w:trPr>
          <w:jc w:val="center"/>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资产负债率</w:t>
            </w:r>
          </w:p>
        </w:tc>
        <w:tc>
          <w:tcPr>
            <w:tcW w:w="239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22.77%</w:t>
            </w:r>
          </w:p>
        </w:tc>
        <w:tc>
          <w:tcPr>
            <w:tcW w:w="239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23.60%</w:t>
            </w:r>
          </w:p>
        </w:tc>
        <w:tc>
          <w:tcPr>
            <w:tcW w:w="239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-0.83%</w:t>
            </w:r>
          </w:p>
        </w:tc>
      </w:tr>
      <w:tr w:rsidR="00AB3AEE">
        <w:trPr>
          <w:jc w:val="center"/>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sz w:val="21"/>
                <w:szCs w:val="21"/>
              </w:rPr>
              <w:t>EBITDA</w:t>
            </w:r>
            <w:r>
              <w:rPr>
                <w:rFonts w:ascii="宋体" w:hAnsi="宋体" w:hint="eastAsia"/>
                <w:sz w:val="21"/>
                <w:szCs w:val="21"/>
              </w:rPr>
              <w:t>全部债务比</w:t>
            </w:r>
          </w:p>
        </w:tc>
        <w:tc>
          <w:tcPr>
            <w:tcW w:w="239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64.80%</w:t>
            </w:r>
          </w:p>
        </w:tc>
        <w:tc>
          <w:tcPr>
            <w:tcW w:w="239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55.67%</w:t>
            </w:r>
          </w:p>
        </w:tc>
        <w:tc>
          <w:tcPr>
            <w:tcW w:w="239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9.13%</w:t>
            </w:r>
          </w:p>
        </w:tc>
      </w:tr>
      <w:tr w:rsidR="00AB3AEE">
        <w:trPr>
          <w:jc w:val="center"/>
        </w:trPr>
        <w:tc>
          <w:tcPr>
            <w:tcW w:w="239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left"/>
              <w:rPr>
                <w:rFonts w:ascii="宋体"/>
                <w:sz w:val="21"/>
                <w:szCs w:val="21"/>
              </w:rPr>
            </w:pPr>
            <w:r>
              <w:rPr>
                <w:rFonts w:ascii="宋体" w:hAnsi="宋体" w:hint="eastAsia"/>
                <w:sz w:val="21"/>
                <w:szCs w:val="21"/>
              </w:rPr>
              <w:t>利息保障倍数</w:t>
            </w:r>
          </w:p>
        </w:tc>
        <w:tc>
          <w:tcPr>
            <w:tcW w:w="239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12.74</w:t>
            </w:r>
          </w:p>
        </w:tc>
        <w:tc>
          <w:tcPr>
            <w:tcW w:w="239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8.68</w:t>
            </w:r>
          </w:p>
        </w:tc>
        <w:tc>
          <w:tcPr>
            <w:tcW w:w="2392" w:type="dxa"/>
            <w:tcBorders>
              <w:top w:val="single" w:sz="4" w:space="0" w:color="auto"/>
              <w:left w:val="single" w:sz="4" w:space="0" w:color="auto"/>
              <w:bottom w:val="single" w:sz="4" w:space="0" w:color="auto"/>
              <w:right w:val="single" w:sz="4" w:space="0" w:color="auto"/>
            </w:tcBorders>
            <w:vAlign w:val="center"/>
          </w:tcPr>
          <w:p w:rsidR="00AB3AEE" w:rsidRDefault="008D0794">
            <w:pPr>
              <w:jc w:val="right"/>
              <w:rPr>
                <w:rFonts w:ascii="宋体" w:hAnsi="宋体"/>
                <w:sz w:val="21"/>
                <w:szCs w:val="21"/>
              </w:rPr>
            </w:pPr>
            <w:r>
              <w:rPr>
                <w:rFonts w:ascii="宋体" w:hAnsi="宋体"/>
                <w:sz w:val="21"/>
                <w:szCs w:val="21"/>
              </w:rPr>
              <w:t>46.77%</w:t>
            </w:r>
          </w:p>
        </w:tc>
      </w:tr>
    </w:tbl>
    <w:p w:rsidR="00AB3AEE" w:rsidRDefault="008D0794">
      <w:pPr>
        <w:pStyle w:val="Chapter"/>
        <w:spacing w:before="0" w:after="0" w:line="360" w:lineRule="auto"/>
        <w:outlineLvl w:val="1"/>
        <w:rPr>
          <w:rFonts w:ascii="宋体"/>
        </w:rPr>
      </w:pPr>
      <w:r>
        <w:rPr>
          <w:rFonts w:ascii="宋体" w:hAnsi="宋体" w:hint="eastAsia"/>
        </w:rPr>
        <w:t>三、经营情况讨论与分析</w:t>
      </w:r>
    </w:p>
    <w:p w:rsidR="00AB3AEE" w:rsidRDefault="008D0794">
      <w:pPr>
        <w:pStyle w:val="Chapter"/>
        <w:spacing w:before="0" w:after="0" w:line="360" w:lineRule="auto"/>
        <w:outlineLvl w:val="1"/>
        <w:rPr>
          <w:rFonts w:ascii="宋体"/>
        </w:rPr>
      </w:pPr>
      <w:r>
        <w:rPr>
          <w:rFonts w:ascii="宋体" w:hAnsi="宋体"/>
        </w:rPr>
        <w:t>1</w:t>
      </w:r>
      <w:r>
        <w:rPr>
          <w:rFonts w:ascii="宋体" w:hAnsi="宋体" w:hint="eastAsia"/>
        </w:rPr>
        <w:t>、报告期经营情况简介</w:t>
      </w:r>
    </w:p>
    <w:p w:rsidR="00AB3AEE" w:rsidRDefault="008D0794">
      <w:pPr>
        <w:autoSpaceDE w:val="0"/>
        <w:autoSpaceDN w:val="0"/>
        <w:adjustRightInd w:val="0"/>
        <w:spacing w:before="0" w:after="0" w:line="360" w:lineRule="auto"/>
        <w:ind w:firstLineChars="200" w:firstLine="480"/>
        <w:rPr>
          <w:rFonts w:ascii="宋体"/>
          <w:sz w:val="24"/>
          <w:szCs w:val="24"/>
          <w:lang w:val="zh-CN"/>
        </w:rPr>
      </w:pPr>
      <w:r>
        <w:rPr>
          <w:rFonts w:ascii="宋体" w:hAnsi="宋体" w:hint="eastAsia"/>
          <w:sz w:val="24"/>
          <w:szCs w:val="24"/>
          <w:lang w:val="zh-CN"/>
        </w:rPr>
        <w:t>公司是否需要遵守特殊行业的披露要求：否</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围绕“推进绿色发展，建设美丽中国”发展战略，国家大力推动各项环保政策落地，污水处理、河道治理、固废处理等领域迎来新的发展机遇，伴随着市政领域</w:t>
      </w:r>
      <w:r>
        <w:rPr>
          <w:rFonts w:ascii="宋体" w:hAnsi="宋体"/>
          <w:sz w:val="24"/>
          <w:szCs w:val="24"/>
        </w:rPr>
        <w:t>PPP</w:t>
      </w:r>
      <w:r>
        <w:rPr>
          <w:rFonts w:ascii="宋体" w:hAnsi="宋体" w:hint="eastAsia"/>
          <w:sz w:val="24"/>
          <w:szCs w:val="24"/>
        </w:rPr>
        <w:t>模式不断创新和升级，环保产业的发展呈现出广阔的发展前景。</w:t>
      </w:r>
    </w:p>
    <w:p w:rsidR="00AB3AEE" w:rsidRDefault="008D0794">
      <w:pPr>
        <w:spacing w:before="0" w:after="0" w:line="360" w:lineRule="auto"/>
        <w:ind w:firstLineChars="200" w:firstLine="480"/>
        <w:rPr>
          <w:rFonts w:ascii="宋体"/>
          <w:sz w:val="24"/>
          <w:szCs w:val="24"/>
        </w:rPr>
      </w:pPr>
      <w:r>
        <w:rPr>
          <w:rFonts w:ascii="宋体" w:hAnsi="宋体"/>
          <w:sz w:val="24"/>
          <w:szCs w:val="24"/>
        </w:rPr>
        <w:t>2017</w:t>
      </w:r>
      <w:r>
        <w:rPr>
          <w:rFonts w:ascii="宋体" w:hAnsi="宋体" w:hint="eastAsia"/>
          <w:sz w:val="24"/>
          <w:szCs w:val="24"/>
        </w:rPr>
        <w:t>年，在公司董事会的领导下，公司按照“产业经营</w:t>
      </w:r>
      <w:r>
        <w:rPr>
          <w:rFonts w:ascii="宋体" w:hAnsi="宋体"/>
          <w:sz w:val="24"/>
          <w:szCs w:val="24"/>
        </w:rPr>
        <w:t>+</w:t>
      </w:r>
      <w:r>
        <w:rPr>
          <w:rFonts w:ascii="宋体" w:hAnsi="宋体" w:hint="eastAsia"/>
          <w:sz w:val="24"/>
          <w:szCs w:val="24"/>
        </w:rPr>
        <w:t>资本运营”的战略思路，聚焦“环保水务”的核心主业，积极做好存量业务，探索发展增量业务，突破企业发展难题，努力实现董事会下达的年度目标任务。</w:t>
      </w:r>
    </w:p>
    <w:p w:rsidR="00AB3AEE" w:rsidRDefault="008D0794">
      <w:pPr>
        <w:spacing w:before="0" w:after="0" w:line="360" w:lineRule="auto"/>
        <w:ind w:firstLineChars="200" w:firstLine="482"/>
        <w:rPr>
          <w:rFonts w:ascii="宋体"/>
          <w:sz w:val="24"/>
          <w:szCs w:val="24"/>
        </w:rPr>
      </w:pPr>
      <w:r>
        <w:rPr>
          <w:rFonts w:ascii="宋体" w:hAnsi="宋体" w:hint="eastAsia"/>
          <w:b/>
          <w:bCs/>
          <w:sz w:val="24"/>
          <w:szCs w:val="24"/>
        </w:rPr>
        <w:t>编制公司未来三年发展战略。</w:t>
      </w:r>
      <w:r>
        <w:rPr>
          <w:rFonts w:ascii="宋体" w:hAnsi="宋体"/>
          <w:sz w:val="24"/>
          <w:szCs w:val="24"/>
        </w:rPr>
        <w:t>2017</w:t>
      </w:r>
      <w:r>
        <w:rPr>
          <w:rFonts w:ascii="宋体" w:hAnsi="宋体" w:hint="eastAsia"/>
          <w:sz w:val="24"/>
          <w:szCs w:val="24"/>
        </w:rPr>
        <w:t>年，公司针对国家政策发展和市场竞争形势变化，多次组织战略研讨会，梳理形成了“</w:t>
      </w:r>
      <w:r>
        <w:rPr>
          <w:rFonts w:ascii="宋体" w:hAnsi="宋体"/>
          <w:sz w:val="24"/>
          <w:szCs w:val="24"/>
        </w:rPr>
        <w:t>12345</w:t>
      </w:r>
      <w:r>
        <w:rPr>
          <w:rFonts w:ascii="宋体" w:hAnsi="宋体" w:hint="eastAsia"/>
          <w:sz w:val="24"/>
          <w:szCs w:val="24"/>
        </w:rPr>
        <w:t>”战略（</w:t>
      </w:r>
      <w:r>
        <w:rPr>
          <w:rFonts w:ascii="宋体" w:hAnsi="宋体"/>
          <w:sz w:val="24"/>
          <w:szCs w:val="24"/>
        </w:rPr>
        <w:t>2018-2020</w:t>
      </w:r>
      <w:r>
        <w:rPr>
          <w:rFonts w:ascii="宋体" w:hAnsi="宋体" w:hint="eastAsia"/>
          <w:sz w:val="24"/>
          <w:szCs w:val="24"/>
        </w:rPr>
        <w:t>年），发展方向和目标进一步清晰</w:t>
      </w:r>
      <w:r>
        <w:rPr>
          <w:rFonts w:ascii="宋体"/>
          <w:sz w:val="24"/>
          <w:szCs w:val="24"/>
        </w:rPr>
        <w:t>,</w:t>
      </w:r>
      <w:r>
        <w:rPr>
          <w:rFonts w:ascii="宋体" w:hAnsi="宋体" w:hint="eastAsia"/>
          <w:sz w:val="24"/>
          <w:szCs w:val="24"/>
        </w:rPr>
        <w:t>为引领公司走上高质量、高速度的发展轨道，实现成为行业领先、国内一流综合环境服务提供商的目标提供坚强保障。</w:t>
      </w:r>
    </w:p>
    <w:p w:rsidR="00AB3AEE" w:rsidRDefault="008D0794">
      <w:pPr>
        <w:spacing w:before="0" w:after="0" w:line="360" w:lineRule="auto"/>
        <w:ind w:firstLineChars="200" w:firstLine="482"/>
        <w:rPr>
          <w:rFonts w:ascii="宋体"/>
          <w:sz w:val="24"/>
          <w:szCs w:val="24"/>
        </w:rPr>
      </w:pPr>
      <w:r>
        <w:rPr>
          <w:rFonts w:ascii="宋体" w:hAnsi="宋体" w:hint="eastAsia"/>
          <w:b/>
          <w:bCs/>
          <w:sz w:val="24"/>
          <w:szCs w:val="24"/>
        </w:rPr>
        <w:t>加快投资步伐，积蓄发展动能。</w:t>
      </w:r>
      <w:r>
        <w:rPr>
          <w:rFonts w:ascii="宋体" w:hAnsi="宋体" w:hint="eastAsia"/>
          <w:sz w:val="24"/>
          <w:szCs w:val="24"/>
        </w:rPr>
        <w:t>重点跟进环保领域投资项目，项目涉及新建</w:t>
      </w:r>
      <w:r>
        <w:rPr>
          <w:rFonts w:ascii="宋体" w:hAnsi="宋体"/>
          <w:sz w:val="24"/>
          <w:szCs w:val="24"/>
        </w:rPr>
        <w:t>PPP</w:t>
      </w:r>
      <w:r>
        <w:rPr>
          <w:rFonts w:ascii="宋体" w:hAnsi="宋体" w:hint="eastAsia"/>
          <w:sz w:val="24"/>
          <w:szCs w:val="24"/>
        </w:rPr>
        <w:t>项目、存量收购以及股权投资等类型。完成受让杭州天创环境</w:t>
      </w:r>
      <w:r>
        <w:rPr>
          <w:rFonts w:ascii="宋体" w:hAnsi="宋体"/>
          <w:sz w:val="24"/>
          <w:szCs w:val="24"/>
        </w:rPr>
        <w:t>469.90</w:t>
      </w:r>
      <w:r>
        <w:rPr>
          <w:rFonts w:ascii="宋体" w:hAnsi="宋体" w:hint="eastAsia"/>
          <w:sz w:val="24"/>
          <w:szCs w:val="24"/>
        </w:rPr>
        <w:t>万股股份交易（约占总股本的</w:t>
      </w:r>
      <w:r>
        <w:rPr>
          <w:rFonts w:ascii="宋体" w:hAnsi="宋体"/>
          <w:sz w:val="24"/>
          <w:szCs w:val="24"/>
        </w:rPr>
        <w:t>7.17%</w:t>
      </w:r>
      <w:r>
        <w:rPr>
          <w:rFonts w:ascii="宋体" w:hAnsi="宋体" w:hint="eastAsia"/>
          <w:sz w:val="24"/>
          <w:szCs w:val="24"/>
        </w:rPr>
        <w:t>），投资金额</w:t>
      </w:r>
      <w:r>
        <w:rPr>
          <w:rFonts w:ascii="宋体" w:hAnsi="宋体"/>
          <w:sz w:val="24"/>
          <w:szCs w:val="24"/>
        </w:rPr>
        <w:t>3,055</w:t>
      </w:r>
      <w:r>
        <w:rPr>
          <w:rFonts w:ascii="宋体" w:hAnsi="宋体" w:hint="eastAsia"/>
          <w:sz w:val="24"/>
          <w:szCs w:val="24"/>
        </w:rPr>
        <w:t>万元；中标对于公司及中山市具里程碑意义的水环境整合整治项目（恒大二期排洪渠水环境整治提升工程），中标金额约</w:t>
      </w:r>
      <w:r>
        <w:rPr>
          <w:rFonts w:ascii="宋体" w:hAnsi="宋体"/>
          <w:sz w:val="24"/>
          <w:szCs w:val="24"/>
        </w:rPr>
        <w:t>4,000</w:t>
      </w:r>
      <w:r>
        <w:rPr>
          <w:rFonts w:ascii="宋体" w:hAnsi="宋体" w:hint="eastAsia"/>
          <w:sz w:val="24"/>
          <w:szCs w:val="24"/>
        </w:rPr>
        <w:t>万元。</w:t>
      </w:r>
    </w:p>
    <w:p w:rsidR="00AB3AEE" w:rsidRDefault="008D0794">
      <w:pPr>
        <w:spacing w:before="0" w:after="0" w:line="360" w:lineRule="auto"/>
        <w:ind w:firstLineChars="200" w:firstLine="482"/>
        <w:rPr>
          <w:rFonts w:ascii="宋体"/>
          <w:sz w:val="24"/>
          <w:szCs w:val="24"/>
        </w:rPr>
      </w:pPr>
      <w:r>
        <w:rPr>
          <w:rFonts w:ascii="宋体" w:hAnsi="宋体" w:hint="eastAsia"/>
          <w:b/>
          <w:bCs/>
          <w:sz w:val="24"/>
          <w:szCs w:val="24"/>
        </w:rPr>
        <w:t>完善激励机制，促发企业活力。</w:t>
      </w:r>
      <w:r>
        <w:rPr>
          <w:rFonts w:ascii="宋体" w:hAnsi="宋体" w:hint="eastAsia"/>
          <w:sz w:val="24"/>
          <w:szCs w:val="24"/>
        </w:rPr>
        <w:t>公司期权激励计划（草案）已通过董事会审核，并于</w:t>
      </w:r>
      <w:r>
        <w:rPr>
          <w:rFonts w:ascii="宋体" w:hAnsi="宋体"/>
          <w:sz w:val="24"/>
          <w:szCs w:val="24"/>
        </w:rPr>
        <w:t>2017</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16</w:t>
      </w:r>
      <w:r>
        <w:rPr>
          <w:rFonts w:ascii="宋体" w:hAnsi="宋体" w:hint="eastAsia"/>
          <w:sz w:val="24"/>
          <w:szCs w:val="24"/>
        </w:rPr>
        <w:t>日登报挂网披露，目前正积极推动草案审批工作。同时，公司逐步建立和完善创新的投资管理机制，以此提升公司投资管理水平。</w:t>
      </w:r>
    </w:p>
    <w:p w:rsidR="00AB3AEE" w:rsidRDefault="008D0794">
      <w:pPr>
        <w:spacing w:before="0" w:after="0" w:line="360" w:lineRule="auto"/>
        <w:ind w:firstLineChars="200" w:firstLine="482"/>
        <w:rPr>
          <w:rFonts w:ascii="宋体"/>
          <w:sz w:val="24"/>
          <w:szCs w:val="24"/>
        </w:rPr>
      </w:pPr>
      <w:r>
        <w:rPr>
          <w:rFonts w:ascii="宋体" w:hAnsi="宋体"/>
          <w:b/>
          <w:bCs/>
          <w:sz w:val="24"/>
          <w:szCs w:val="24"/>
        </w:rPr>
        <w:t>20</w:t>
      </w:r>
      <w:r>
        <w:rPr>
          <w:rFonts w:ascii="宋体" w:hAnsi="宋体" w:hint="eastAsia"/>
          <w:b/>
          <w:bCs/>
          <w:sz w:val="24"/>
          <w:szCs w:val="24"/>
        </w:rPr>
        <w:t>亿元公司债获得核准批复。</w:t>
      </w:r>
      <w:r>
        <w:rPr>
          <w:rFonts w:ascii="宋体" w:hAnsi="宋体"/>
          <w:sz w:val="24"/>
          <w:szCs w:val="24"/>
        </w:rPr>
        <w:t>2017</w:t>
      </w:r>
      <w:r>
        <w:rPr>
          <w:rFonts w:ascii="宋体" w:hAnsi="宋体" w:hint="eastAsia"/>
          <w:sz w:val="24"/>
          <w:szCs w:val="24"/>
        </w:rPr>
        <w:t>年</w:t>
      </w:r>
      <w:r>
        <w:rPr>
          <w:rFonts w:ascii="宋体" w:hAnsi="宋体"/>
          <w:sz w:val="24"/>
          <w:szCs w:val="24"/>
        </w:rPr>
        <w:t>10</w:t>
      </w:r>
      <w:r>
        <w:rPr>
          <w:rFonts w:ascii="宋体" w:hAnsi="宋体" w:hint="eastAsia"/>
          <w:sz w:val="24"/>
          <w:szCs w:val="24"/>
        </w:rPr>
        <w:t>月，公司收到中国证监会出具的《关于核准中山公用事业集团股份有限公司向合格投资者公开发行公司债券的批复》。公司将择机分期发行上述公司债，募集资金将为公司的重点工程建设和业务拓展提供坚实的资金保障。</w:t>
      </w:r>
    </w:p>
    <w:p w:rsidR="00AB3AEE" w:rsidRDefault="008D0794">
      <w:pPr>
        <w:spacing w:before="0" w:after="0" w:line="360" w:lineRule="auto"/>
        <w:ind w:firstLineChars="200" w:firstLine="482"/>
        <w:rPr>
          <w:rFonts w:ascii="宋体"/>
          <w:sz w:val="24"/>
          <w:szCs w:val="24"/>
        </w:rPr>
      </w:pPr>
      <w:r>
        <w:rPr>
          <w:rFonts w:ascii="宋体" w:hAnsi="宋体" w:hint="eastAsia"/>
          <w:b/>
          <w:bCs/>
          <w:sz w:val="24"/>
          <w:szCs w:val="24"/>
        </w:rPr>
        <w:t>优化供水管网，拓展二次供水。</w:t>
      </w:r>
      <w:r>
        <w:rPr>
          <w:rFonts w:ascii="宋体" w:hAnsi="宋体"/>
          <w:sz w:val="24"/>
          <w:szCs w:val="24"/>
        </w:rPr>
        <w:t>2017</w:t>
      </w:r>
      <w:r>
        <w:rPr>
          <w:rFonts w:ascii="宋体" w:hAnsi="宋体" w:hint="eastAsia"/>
          <w:sz w:val="24"/>
          <w:szCs w:val="24"/>
        </w:rPr>
        <w:t>年，公司投入</w:t>
      </w:r>
      <w:r>
        <w:rPr>
          <w:rFonts w:ascii="宋体" w:hAnsi="宋体"/>
          <w:sz w:val="24"/>
          <w:szCs w:val="24"/>
        </w:rPr>
        <w:t>6,000</w:t>
      </w:r>
      <w:r>
        <w:rPr>
          <w:rFonts w:ascii="宋体" w:hAnsi="宋体" w:hint="eastAsia"/>
          <w:sz w:val="24"/>
          <w:szCs w:val="24"/>
        </w:rPr>
        <w:t>万元改造中山市城镇供水管网，新铺设</w:t>
      </w:r>
      <w:r>
        <w:rPr>
          <w:rFonts w:ascii="宋体" w:hAnsi="宋体"/>
          <w:sz w:val="24"/>
          <w:szCs w:val="24"/>
        </w:rPr>
        <w:t>DN50</w:t>
      </w:r>
      <w:r>
        <w:rPr>
          <w:rFonts w:ascii="宋体" w:hAnsi="宋体" w:hint="eastAsia"/>
          <w:sz w:val="24"/>
          <w:szCs w:val="24"/>
        </w:rPr>
        <w:t>以上供水管道长度约</w:t>
      </w:r>
      <w:r>
        <w:rPr>
          <w:rFonts w:ascii="宋体" w:hAnsi="宋体"/>
          <w:sz w:val="24"/>
          <w:szCs w:val="24"/>
        </w:rPr>
        <w:t>180</w:t>
      </w:r>
      <w:r>
        <w:rPr>
          <w:rFonts w:ascii="宋体" w:hAnsi="宋体" w:hint="eastAsia"/>
          <w:sz w:val="24"/>
          <w:szCs w:val="24"/>
        </w:rPr>
        <w:t>公里，涉及改造用户</w:t>
      </w:r>
      <w:r>
        <w:rPr>
          <w:rFonts w:ascii="宋体" w:hAnsi="宋体"/>
          <w:sz w:val="24"/>
          <w:szCs w:val="24"/>
        </w:rPr>
        <w:t>19,000</w:t>
      </w:r>
      <w:r>
        <w:rPr>
          <w:rFonts w:ascii="宋体" w:hAnsi="宋体" w:hint="eastAsia"/>
          <w:sz w:val="24"/>
          <w:szCs w:val="24"/>
        </w:rPr>
        <w:t>余户；采用“全额垫支、水量分摊回收”</w:t>
      </w:r>
      <w:r>
        <w:rPr>
          <w:rFonts w:ascii="宋体" w:hAnsi="宋体"/>
          <w:sz w:val="24"/>
          <w:szCs w:val="24"/>
        </w:rPr>
        <w:t xml:space="preserve"> </w:t>
      </w:r>
      <w:r>
        <w:rPr>
          <w:rFonts w:ascii="宋体" w:hAnsi="宋体" w:hint="eastAsia"/>
          <w:sz w:val="24"/>
          <w:szCs w:val="24"/>
        </w:rPr>
        <w:t>的方式，完成比华利山庄二次供水改造项目，获得</w:t>
      </w:r>
      <w:r>
        <w:rPr>
          <w:rFonts w:ascii="宋体" w:hAnsi="宋体"/>
          <w:sz w:val="24"/>
          <w:szCs w:val="24"/>
        </w:rPr>
        <w:t>136</w:t>
      </w:r>
      <w:r>
        <w:rPr>
          <w:rFonts w:ascii="宋体" w:hAnsi="宋体" w:hint="eastAsia"/>
          <w:sz w:val="24"/>
          <w:szCs w:val="24"/>
        </w:rPr>
        <w:t>个新建设住宅小区二次供水设施的维护管理业务。</w:t>
      </w:r>
    </w:p>
    <w:p w:rsidR="00AB3AEE" w:rsidRDefault="008D0794">
      <w:pPr>
        <w:spacing w:before="0" w:after="0" w:line="360" w:lineRule="auto"/>
        <w:ind w:firstLineChars="200" w:firstLine="482"/>
        <w:rPr>
          <w:rFonts w:ascii="宋体"/>
          <w:sz w:val="24"/>
          <w:szCs w:val="24"/>
        </w:rPr>
      </w:pPr>
      <w:r>
        <w:rPr>
          <w:rFonts w:ascii="宋体" w:hAnsi="宋体" w:hint="eastAsia"/>
          <w:b/>
          <w:bCs/>
          <w:sz w:val="24"/>
          <w:szCs w:val="24"/>
        </w:rPr>
        <w:t>推动新技术运用，提升经营效益。</w:t>
      </w:r>
      <w:r>
        <w:rPr>
          <w:rFonts w:ascii="宋体" w:hAnsi="宋体" w:hint="eastAsia"/>
          <w:sz w:val="24"/>
          <w:szCs w:val="24"/>
        </w:rPr>
        <w:t>公司继续强化“智慧水务”平台建设，推广应用供水自控信息化技术，长江水厂实现“无人值守”，并在下属</w:t>
      </w:r>
      <w:r>
        <w:rPr>
          <w:rFonts w:ascii="宋体" w:hAnsi="宋体"/>
          <w:sz w:val="24"/>
          <w:szCs w:val="24"/>
        </w:rPr>
        <w:t>5</w:t>
      </w:r>
      <w:r>
        <w:rPr>
          <w:rFonts w:ascii="宋体" w:hAnsi="宋体" w:hint="eastAsia"/>
          <w:sz w:val="24"/>
          <w:szCs w:val="24"/>
        </w:rPr>
        <w:t>家水厂建立移动生产巡查系统，实现生产巡检现场作业与考核智能电子化；打造“智慧市场”促转型升级，积极配合政府“食安中山”建设工作，深化肉菜溯源体系，为市民提供安全放心的菜篮子。</w:t>
      </w:r>
    </w:p>
    <w:p w:rsidR="00AB3AEE" w:rsidRDefault="008D0794">
      <w:pPr>
        <w:spacing w:before="0" w:after="0" w:line="360" w:lineRule="auto"/>
        <w:ind w:firstLineChars="200" w:firstLine="482"/>
        <w:rPr>
          <w:rFonts w:ascii="宋体"/>
          <w:sz w:val="24"/>
          <w:szCs w:val="24"/>
        </w:rPr>
      </w:pPr>
      <w:r>
        <w:rPr>
          <w:rFonts w:ascii="宋体" w:hAnsi="宋体" w:hint="eastAsia"/>
          <w:b/>
          <w:bCs/>
          <w:sz w:val="24"/>
          <w:szCs w:val="24"/>
        </w:rPr>
        <w:t>按时保质保量完成重点工程任务。</w:t>
      </w:r>
      <w:r>
        <w:rPr>
          <w:rFonts w:ascii="宋体" w:hAnsi="宋体" w:hint="eastAsia"/>
          <w:sz w:val="24"/>
          <w:szCs w:val="24"/>
        </w:rPr>
        <w:t>积极推动重点项目工程落地，顺利完成深中水上巴士项目、</w:t>
      </w:r>
      <w:r>
        <w:rPr>
          <w:rFonts w:ascii="宋体" w:hAnsi="宋体"/>
          <w:sz w:val="24"/>
          <w:szCs w:val="24"/>
        </w:rPr>
        <w:t>2017</w:t>
      </w:r>
      <w:r>
        <w:rPr>
          <w:rFonts w:ascii="宋体" w:hAnsi="宋体" w:hint="eastAsia"/>
          <w:sz w:val="24"/>
          <w:szCs w:val="24"/>
        </w:rPr>
        <w:t>年城镇供水管网改造工程、阜沙水厂关闭供水保障工程、凯茵片区供水保障工程等项目，此外，加快推进天乙能源三期项目建设、东凤兴华市场升级改造等工程项目，确保按时保质保量完成政府考核任务。</w:t>
      </w:r>
    </w:p>
    <w:p w:rsidR="00AB3AEE" w:rsidRDefault="008D0794">
      <w:pPr>
        <w:spacing w:before="0" w:after="0" w:line="360" w:lineRule="auto"/>
        <w:ind w:firstLineChars="200" w:firstLine="480"/>
        <w:rPr>
          <w:rFonts w:ascii="宋体"/>
          <w:sz w:val="24"/>
          <w:szCs w:val="24"/>
          <w:highlight w:val="yellow"/>
        </w:rPr>
      </w:pPr>
      <w:r>
        <w:rPr>
          <w:rFonts w:ascii="宋体" w:hAnsi="宋体"/>
          <w:sz w:val="24"/>
          <w:szCs w:val="24"/>
        </w:rPr>
        <w:t>2017</w:t>
      </w:r>
      <w:r>
        <w:rPr>
          <w:rFonts w:ascii="宋体" w:hAnsi="宋体" w:hint="eastAsia"/>
          <w:sz w:val="24"/>
          <w:szCs w:val="24"/>
        </w:rPr>
        <w:t>年，公司经营业绩稳步增长，取得了较好的成绩。公司全年实现营业收入</w:t>
      </w:r>
      <w:r>
        <w:rPr>
          <w:rFonts w:ascii="宋体" w:hAnsi="宋体"/>
          <w:sz w:val="24"/>
          <w:szCs w:val="24"/>
        </w:rPr>
        <w:t>16.14</w:t>
      </w:r>
      <w:r>
        <w:rPr>
          <w:rFonts w:ascii="宋体" w:hAnsi="宋体" w:hint="eastAsia"/>
          <w:sz w:val="24"/>
          <w:szCs w:val="24"/>
        </w:rPr>
        <w:t>亿元，同比增长</w:t>
      </w:r>
      <w:r>
        <w:rPr>
          <w:rFonts w:ascii="宋体" w:hAnsi="宋体"/>
          <w:sz w:val="24"/>
          <w:szCs w:val="24"/>
        </w:rPr>
        <w:t>10.35%</w:t>
      </w:r>
      <w:r>
        <w:rPr>
          <w:rFonts w:ascii="宋体" w:hAnsi="宋体" w:hint="eastAsia"/>
          <w:sz w:val="24"/>
          <w:szCs w:val="24"/>
        </w:rPr>
        <w:t>；实现归属于上市公司股东的扣除非经常性损益的净利润</w:t>
      </w:r>
      <w:r>
        <w:rPr>
          <w:rFonts w:ascii="宋体" w:hAnsi="宋体"/>
          <w:sz w:val="24"/>
          <w:szCs w:val="24"/>
        </w:rPr>
        <w:t>10.24</w:t>
      </w:r>
      <w:r>
        <w:rPr>
          <w:rFonts w:ascii="宋体" w:hAnsi="宋体" w:hint="eastAsia"/>
          <w:sz w:val="24"/>
          <w:szCs w:val="24"/>
        </w:rPr>
        <w:t>亿元，同比增长</w:t>
      </w:r>
      <w:r>
        <w:rPr>
          <w:rFonts w:ascii="宋体" w:hAnsi="宋体"/>
          <w:sz w:val="24"/>
          <w:szCs w:val="24"/>
        </w:rPr>
        <w:t>11.82%</w:t>
      </w:r>
      <w:r>
        <w:rPr>
          <w:rFonts w:ascii="宋体" w:hAnsi="宋体" w:hint="eastAsia"/>
          <w:sz w:val="24"/>
          <w:szCs w:val="24"/>
        </w:rPr>
        <w:t>；剔除广发证券投资收益后净利润为</w:t>
      </w:r>
      <w:r>
        <w:rPr>
          <w:rFonts w:ascii="宋体" w:hAnsi="宋体"/>
          <w:sz w:val="24"/>
          <w:szCs w:val="24"/>
        </w:rPr>
        <w:t>1.78</w:t>
      </w:r>
      <w:r>
        <w:rPr>
          <w:rFonts w:ascii="宋体" w:hAnsi="宋体" w:hint="eastAsia"/>
          <w:sz w:val="24"/>
          <w:szCs w:val="24"/>
        </w:rPr>
        <w:t>亿元，同比增长</w:t>
      </w:r>
      <w:r>
        <w:rPr>
          <w:rFonts w:ascii="宋体" w:hAnsi="宋体"/>
          <w:sz w:val="24"/>
          <w:szCs w:val="24"/>
        </w:rPr>
        <w:t>19.26%</w:t>
      </w:r>
      <w:r>
        <w:rPr>
          <w:rFonts w:ascii="宋体" w:hAnsi="宋体" w:hint="eastAsia"/>
          <w:sz w:val="24"/>
          <w:szCs w:val="24"/>
        </w:rPr>
        <w:t>；公司总资产</w:t>
      </w:r>
      <w:r>
        <w:rPr>
          <w:rFonts w:ascii="宋体" w:hAnsi="宋体"/>
          <w:sz w:val="24"/>
          <w:szCs w:val="24"/>
        </w:rPr>
        <w:t>158.43</w:t>
      </w:r>
      <w:r>
        <w:rPr>
          <w:rFonts w:ascii="宋体" w:hAnsi="宋体" w:hint="eastAsia"/>
          <w:sz w:val="24"/>
          <w:szCs w:val="24"/>
        </w:rPr>
        <w:t>亿元，归属于上市公司股东的净资产</w:t>
      </w:r>
      <w:r>
        <w:rPr>
          <w:rFonts w:ascii="宋体" w:hAnsi="宋体"/>
          <w:sz w:val="24"/>
          <w:szCs w:val="24"/>
        </w:rPr>
        <w:t>120.29</w:t>
      </w:r>
      <w:r>
        <w:rPr>
          <w:rFonts w:ascii="宋体" w:hAnsi="宋体" w:hint="eastAsia"/>
          <w:sz w:val="24"/>
          <w:szCs w:val="24"/>
        </w:rPr>
        <w:t>亿元，资产负债率为</w:t>
      </w:r>
      <w:r>
        <w:rPr>
          <w:rFonts w:ascii="宋体" w:hAnsi="宋体"/>
          <w:sz w:val="24"/>
          <w:szCs w:val="24"/>
        </w:rPr>
        <w:t>22.77%</w:t>
      </w:r>
      <w:r>
        <w:rPr>
          <w:rFonts w:ascii="宋体" w:hAnsi="宋体" w:hint="eastAsia"/>
          <w:sz w:val="24"/>
          <w:szCs w:val="24"/>
        </w:rPr>
        <w:t>，净资产收益率为</w:t>
      </w:r>
      <w:r>
        <w:rPr>
          <w:rFonts w:ascii="宋体" w:hAnsi="宋体"/>
          <w:sz w:val="24"/>
          <w:szCs w:val="24"/>
        </w:rPr>
        <w:t>9.15%</w:t>
      </w:r>
      <w:r>
        <w:rPr>
          <w:rFonts w:ascii="宋体" w:hAnsi="宋体" w:hint="eastAsia"/>
          <w:sz w:val="24"/>
          <w:szCs w:val="24"/>
        </w:rPr>
        <w:t>。</w:t>
      </w:r>
    </w:p>
    <w:p w:rsidR="00AB3AEE" w:rsidRDefault="008D0794">
      <w:pPr>
        <w:pStyle w:val="Chapter"/>
        <w:spacing w:before="0" w:after="0" w:line="360" w:lineRule="auto"/>
        <w:outlineLvl w:val="1"/>
        <w:rPr>
          <w:rFonts w:ascii="宋体"/>
        </w:rPr>
      </w:pPr>
      <w:r>
        <w:rPr>
          <w:rFonts w:ascii="宋体" w:hAnsi="宋体"/>
        </w:rPr>
        <w:t>2</w:t>
      </w:r>
      <w:r>
        <w:rPr>
          <w:rFonts w:ascii="宋体" w:hAnsi="宋体" w:hint="eastAsia"/>
        </w:rPr>
        <w:t>、报告期内主营业务是否存在重大变化</w:t>
      </w:r>
    </w:p>
    <w:p w:rsidR="00AB3AEE" w:rsidRDefault="008D0794">
      <w:pPr>
        <w:spacing w:before="0" w:after="0"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否</w:t>
      </w:r>
      <w:r>
        <w:rPr>
          <w:rFonts w:ascii="宋体" w:hAnsi="宋体"/>
          <w:sz w:val="24"/>
          <w:szCs w:val="24"/>
        </w:rPr>
        <w:t xml:space="preserve"> </w:t>
      </w:r>
    </w:p>
    <w:p w:rsidR="00AB3AEE" w:rsidRDefault="008D0794">
      <w:pPr>
        <w:pStyle w:val="Chapter"/>
        <w:spacing w:before="0" w:after="0" w:line="360" w:lineRule="auto"/>
        <w:outlineLvl w:val="1"/>
        <w:rPr>
          <w:rFonts w:ascii="宋体"/>
        </w:rPr>
      </w:pPr>
      <w:r>
        <w:rPr>
          <w:rFonts w:ascii="宋体" w:hAnsi="宋体"/>
        </w:rPr>
        <w:t>3</w:t>
      </w:r>
      <w:r>
        <w:rPr>
          <w:rFonts w:ascii="宋体" w:hAnsi="宋体" w:hint="eastAsia"/>
        </w:rPr>
        <w:t>、占公司主营业务收入或主营业务利润</w:t>
      </w:r>
      <w:r>
        <w:rPr>
          <w:rFonts w:ascii="宋体" w:hAnsi="宋体"/>
        </w:rPr>
        <w:t>10%</w:t>
      </w:r>
      <w:r>
        <w:rPr>
          <w:rFonts w:ascii="宋体" w:hAnsi="宋体" w:hint="eastAsia"/>
        </w:rPr>
        <w:t>以上的产品情况</w:t>
      </w:r>
    </w:p>
    <w:p w:rsidR="00AB3AEE" w:rsidRDefault="008D0794">
      <w:pPr>
        <w:spacing w:before="0" w:after="0"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AB3AEE" w:rsidRDefault="008D0794">
      <w:pPr>
        <w:jc w:val="right"/>
        <w:rPr>
          <w:rFonts w:cs="Times New Roman"/>
        </w:rPr>
      </w:pPr>
      <w:r>
        <w:rPr>
          <w:rFonts w:hint="eastAsia"/>
          <w:sz w:val="24"/>
          <w:szCs w:val="24"/>
        </w:rPr>
        <w:t>单位：元</w:t>
      </w:r>
    </w:p>
    <w:tbl>
      <w:tblPr>
        <w:tblW w:w="0" w:type="auto"/>
        <w:jc w:val="center"/>
        <w:tblLayout w:type="fixed"/>
        <w:tblLook w:val="0000" w:firstRow="0" w:lastRow="0" w:firstColumn="0" w:lastColumn="0" w:noHBand="0" w:noVBand="0"/>
      </w:tblPr>
      <w:tblGrid>
        <w:gridCol w:w="1612"/>
        <w:gridCol w:w="1787"/>
        <w:gridCol w:w="1723"/>
        <w:gridCol w:w="1010"/>
        <w:gridCol w:w="1367"/>
        <w:gridCol w:w="1367"/>
        <w:gridCol w:w="1371"/>
      </w:tblGrid>
      <w:tr w:rsidR="00AB3AEE">
        <w:trPr>
          <w:jc w:val="center"/>
        </w:trPr>
        <w:tc>
          <w:tcPr>
            <w:tcW w:w="1612"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产品名称</w:t>
            </w:r>
          </w:p>
        </w:tc>
        <w:tc>
          <w:tcPr>
            <w:tcW w:w="1787"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营业收入</w:t>
            </w:r>
          </w:p>
        </w:tc>
        <w:tc>
          <w:tcPr>
            <w:tcW w:w="1723"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营业利润</w:t>
            </w:r>
          </w:p>
        </w:tc>
        <w:tc>
          <w:tcPr>
            <w:tcW w:w="1010"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毛利率</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营业收入比上年同期增减</w:t>
            </w:r>
          </w:p>
        </w:tc>
        <w:tc>
          <w:tcPr>
            <w:tcW w:w="1367"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营业利润比上年同期增减</w:t>
            </w:r>
          </w:p>
        </w:tc>
        <w:tc>
          <w:tcPr>
            <w:tcW w:w="1371" w:type="dxa"/>
            <w:tcBorders>
              <w:top w:val="single" w:sz="4" w:space="0" w:color="auto"/>
              <w:left w:val="single" w:sz="4" w:space="0" w:color="auto"/>
              <w:bottom w:val="single" w:sz="4" w:space="0" w:color="auto"/>
              <w:right w:val="single" w:sz="4" w:space="0" w:color="auto"/>
            </w:tcBorders>
            <w:shd w:val="clear" w:color="auto" w:fill="D3D3D3"/>
            <w:vAlign w:val="center"/>
          </w:tcPr>
          <w:p w:rsidR="00AB3AEE" w:rsidRDefault="008D0794">
            <w:pPr>
              <w:jc w:val="center"/>
              <w:rPr>
                <w:rFonts w:ascii="宋体"/>
                <w:sz w:val="21"/>
                <w:szCs w:val="21"/>
              </w:rPr>
            </w:pPr>
            <w:r>
              <w:rPr>
                <w:rFonts w:ascii="宋体" w:hAnsi="宋体" w:hint="eastAsia"/>
                <w:sz w:val="21"/>
                <w:szCs w:val="21"/>
              </w:rPr>
              <w:t>毛利率比上年同期增减</w:t>
            </w:r>
          </w:p>
        </w:tc>
      </w:tr>
      <w:tr w:rsidR="00AB3AEE">
        <w:trPr>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hint="eastAsia"/>
                <w:sz w:val="21"/>
                <w:szCs w:val="21"/>
              </w:rPr>
              <w:t>供水</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647,890,762.79</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508,002,215.20</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21.59%</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3.47%</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5.74%</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-1.69%</w:t>
            </w:r>
          </w:p>
        </w:tc>
      </w:tr>
      <w:tr w:rsidR="00AB3AEE">
        <w:trPr>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hint="eastAsia"/>
                <w:sz w:val="21"/>
                <w:szCs w:val="21"/>
              </w:rPr>
              <w:t>污水、废液处理</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106,774,959.97</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67,780,713.05</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36.52%</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9.51%</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16.08%</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-3.59%</w:t>
            </w:r>
          </w:p>
        </w:tc>
      </w:tr>
      <w:tr w:rsidR="00AB3AEE">
        <w:trPr>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hint="eastAsia"/>
                <w:sz w:val="21"/>
                <w:szCs w:val="21"/>
              </w:rPr>
              <w:t>市场租赁业</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161,483,630.99</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60,640,756.33</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62.45%</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0.10%</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13.40%</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-4.41%</w:t>
            </w:r>
          </w:p>
        </w:tc>
      </w:tr>
      <w:tr w:rsidR="00AB3AEE">
        <w:trPr>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hint="eastAsia"/>
                <w:sz w:val="21"/>
                <w:szCs w:val="21"/>
              </w:rPr>
              <w:t>客运服务</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245,496,655.66</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111,741,664.39</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54.48%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13.08%</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30.27%</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-6.00%</w:t>
            </w:r>
          </w:p>
        </w:tc>
      </w:tr>
      <w:tr w:rsidR="00AB3AEE">
        <w:trPr>
          <w:jc w:val="center"/>
        </w:trPr>
        <w:tc>
          <w:tcPr>
            <w:tcW w:w="1612"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left"/>
              <w:rPr>
                <w:rFonts w:ascii="宋体"/>
                <w:sz w:val="21"/>
                <w:szCs w:val="21"/>
              </w:rPr>
            </w:pPr>
            <w:r>
              <w:rPr>
                <w:rFonts w:ascii="宋体" w:hAnsi="宋体" w:hint="eastAsia"/>
                <w:sz w:val="21"/>
                <w:szCs w:val="21"/>
              </w:rPr>
              <w:t>工程安装收入</w:t>
            </w:r>
          </w:p>
        </w:tc>
        <w:tc>
          <w:tcPr>
            <w:tcW w:w="178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301,671,724.82</w:t>
            </w:r>
          </w:p>
        </w:tc>
        <w:tc>
          <w:tcPr>
            <w:tcW w:w="1723"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238,191,750.71</w:t>
            </w:r>
          </w:p>
        </w:tc>
        <w:tc>
          <w:tcPr>
            <w:tcW w:w="1010"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21.04%</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33.93%</w:t>
            </w:r>
          </w:p>
        </w:tc>
        <w:tc>
          <w:tcPr>
            <w:tcW w:w="1367"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31.35%</w:t>
            </w:r>
          </w:p>
        </w:tc>
        <w:tc>
          <w:tcPr>
            <w:tcW w:w="1371" w:type="dxa"/>
            <w:tcBorders>
              <w:top w:val="single" w:sz="4" w:space="0" w:color="auto"/>
              <w:left w:val="single" w:sz="4" w:space="0" w:color="auto"/>
              <w:bottom w:val="single" w:sz="4" w:space="0" w:color="auto"/>
              <w:right w:val="single" w:sz="4" w:space="0" w:color="auto"/>
            </w:tcBorders>
            <w:shd w:val="clear" w:color="auto" w:fill="FFFFFF"/>
            <w:vAlign w:val="center"/>
          </w:tcPr>
          <w:p w:rsidR="00AB3AEE" w:rsidRDefault="008D0794">
            <w:pPr>
              <w:jc w:val="right"/>
              <w:rPr>
                <w:rFonts w:ascii="宋体" w:hAnsi="宋体"/>
                <w:sz w:val="21"/>
                <w:szCs w:val="21"/>
              </w:rPr>
            </w:pPr>
            <w:r>
              <w:rPr>
                <w:rFonts w:ascii="宋体" w:hAnsi="宋体"/>
                <w:sz w:val="21"/>
                <w:szCs w:val="21"/>
              </w:rPr>
              <w:t>1.55%</w:t>
            </w:r>
          </w:p>
        </w:tc>
      </w:tr>
    </w:tbl>
    <w:p w:rsidR="00AB3AEE" w:rsidRDefault="008D0794">
      <w:pPr>
        <w:pStyle w:val="Chapter"/>
        <w:spacing w:beforeLines="50" w:before="120" w:after="0" w:line="360" w:lineRule="auto"/>
        <w:outlineLvl w:val="1"/>
        <w:rPr>
          <w:rFonts w:ascii="宋体"/>
        </w:rPr>
      </w:pPr>
      <w:r>
        <w:rPr>
          <w:rFonts w:ascii="宋体" w:hAnsi="宋体"/>
        </w:rPr>
        <w:t>4</w:t>
      </w:r>
      <w:r>
        <w:rPr>
          <w:rFonts w:ascii="宋体" w:hAnsi="宋体" w:hint="eastAsia"/>
        </w:rPr>
        <w:t>、是否存在需要特别关注的经营季节性或周期性特征</w:t>
      </w:r>
    </w:p>
    <w:p w:rsidR="00AB3AEE" w:rsidRDefault="008D0794">
      <w:pPr>
        <w:spacing w:before="0" w:after="0"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是</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否</w:t>
      </w:r>
      <w:r>
        <w:rPr>
          <w:rFonts w:ascii="宋体" w:hAnsi="宋体"/>
          <w:sz w:val="24"/>
          <w:szCs w:val="24"/>
        </w:rPr>
        <w:t xml:space="preserve"> </w:t>
      </w:r>
    </w:p>
    <w:p w:rsidR="00AB3AEE" w:rsidRDefault="008D0794">
      <w:pPr>
        <w:pStyle w:val="Chapter"/>
        <w:spacing w:before="0" w:after="0" w:line="360" w:lineRule="auto"/>
        <w:outlineLvl w:val="1"/>
        <w:rPr>
          <w:rFonts w:ascii="宋体"/>
        </w:rPr>
      </w:pPr>
      <w:r>
        <w:rPr>
          <w:rFonts w:ascii="宋体" w:hAnsi="宋体"/>
        </w:rPr>
        <w:t>5</w:t>
      </w:r>
      <w:r>
        <w:rPr>
          <w:rFonts w:ascii="宋体" w:hAnsi="宋体" w:hint="eastAsia"/>
        </w:rPr>
        <w:t>、报告期内营业收入、营业成本、归属于上市公司普通股股东的净利润总额或者构成较前一报告期发生重大变化的说明</w:t>
      </w:r>
    </w:p>
    <w:p w:rsidR="00AB3AEE" w:rsidRDefault="008D0794">
      <w:pPr>
        <w:spacing w:before="0" w:after="0"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AB3AEE" w:rsidRDefault="008D0794">
      <w:pPr>
        <w:pStyle w:val="Chapter"/>
        <w:spacing w:before="0" w:after="0" w:line="360" w:lineRule="auto"/>
        <w:outlineLvl w:val="1"/>
        <w:rPr>
          <w:rFonts w:ascii="宋体"/>
        </w:rPr>
      </w:pPr>
      <w:r>
        <w:rPr>
          <w:rFonts w:ascii="宋体" w:hAnsi="宋体"/>
        </w:rPr>
        <w:t>6</w:t>
      </w:r>
      <w:r>
        <w:rPr>
          <w:rFonts w:ascii="宋体" w:hAnsi="宋体" w:hint="eastAsia"/>
        </w:rPr>
        <w:t>、面临暂停上市和终止上市情况</w:t>
      </w:r>
    </w:p>
    <w:p w:rsidR="00AB3AEE" w:rsidRDefault="008D0794">
      <w:pPr>
        <w:spacing w:before="0" w:after="0"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AB3AEE" w:rsidRDefault="008D0794">
      <w:pPr>
        <w:pStyle w:val="Chapter"/>
        <w:spacing w:before="0" w:after="0" w:line="360" w:lineRule="auto"/>
        <w:outlineLvl w:val="1"/>
        <w:rPr>
          <w:rFonts w:ascii="宋体"/>
        </w:rPr>
      </w:pPr>
      <w:r>
        <w:rPr>
          <w:rFonts w:ascii="宋体" w:hAnsi="宋体"/>
        </w:rPr>
        <w:t>7</w:t>
      </w:r>
      <w:r>
        <w:rPr>
          <w:rFonts w:ascii="宋体" w:hAnsi="宋体" w:hint="eastAsia"/>
        </w:rPr>
        <w:t>、涉及财务报告的相关事项</w:t>
      </w:r>
    </w:p>
    <w:p w:rsidR="00AB3AEE" w:rsidRDefault="008D0794">
      <w:pPr>
        <w:pStyle w:val="Chapter"/>
        <w:spacing w:before="0" w:after="0" w:line="360" w:lineRule="auto"/>
        <w:outlineLvl w:val="1"/>
        <w:rPr>
          <w:rFonts w:ascii="宋体"/>
        </w:rPr>
      </w:pPr>
      <w:r>
        <w:rPr>
          <w:rFonts w:ascii="宋体" w:hAnsi="宋体" w:hint="eastAsia"/>
        </w:rPr>
        <w:t>（</w:t>
      </w:r>
      <w:r>
        <w:rPr>
          <w:rFonts w:ascii="宋体" w:hAnsi="宋体"/>
        </w:rPr>
        <w:t>1</w:t>
      </w:r>
      <w:r>
        <w:rPr>
          <w:rFonts w:ascii="宋体" w:hAnsi="宋体" w:hint="eastAsia"/>
        </w:rPr>
        <w:t>）与上年度财务报告相比，会计政策、会计估计和核算方法发生变化的情况说明</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本报告期内公司的会计估计变更事项：</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根据公司</w:t>
      </w:r>
      <w:r>
        <w:rPr>
          <w:rFonts w:ascii="宋体" w:hAnsi="宋体"/>
          <w:sz w:val="24"/>
          <w:szCs w:val="24"/>
        </w:rPr>
        <w:t>2017</w:t>
      </w:r>
      <w:r>
        <w:rPr>
          <w:rFonts w:ascii="宋体" w:hAnsi="宋体" w:hint="eastAsia"/>
          <w:sz w:val="24"/>
          <w:szCs w:val="24"/>
        </w:rPr>
        <w:t>年</w:t>
      </w:r>
      <w:r>
        <w:rPr>
          <w:rFonts w:ascii="宋体" w:hAnsi="宋体"/>
          <w:sz w:val="24"/>
          <w:szCs w:val="24"/>
        </w:rPr>
        <w:t>6</w:t>
      </w:r>
      <w:r>
        <w:rPr>
          <w:rFonts w:ascii="宋体" w:hAnsi="宋体" w:hint="eastAsia"/>
          <w:sz w:val="24"/>
          <w:szCs w:val="24"/>
        </w:rPr>
        <w:t>月</w:t>
      </w:r>
      <w:r>
        <w:rPr>
          <w:rFonts w:ascii="宋体" w:hAnsi="宋体"/>
          <w:sz w:val="24"/>
          <w:szCs w:val="24"/>
        </w:rPr>
        <w:t>2</w:t>
      </w:r>
      <w:r>
        <w:rPr>
          <w:rFonts w:ascii="宋体" w:hAnsi="宋体" w:hint="eastAsia"/>
          <w:sz w:val="24"/>
          <w:szCs w:val="24"/>
        </w:rPr>
        <w:t>日召开的</w:t>
      </w:r>
      <w:r>
        <w:rPr>
          <w:rFonts w:ascii="宋体" w:hAnsi="宋体"/>
          <w:sz w:val="24"/>
          <w:szCs w:val="24"/>
        </w:rPr>
        <w:t>2015</w:t>
      </w:r>
      <w:r>
        <w:rPr>
          <w:rFonts w:ascii="宋体" w:hAnsi="宋体" w:hint="eastAsia"/>
          <w:sz w:val="24"/>
          <w:szCs w:val="24"/>
        </w:rPr>
        <w:t>年第</w:t>
      </w:r>
      <w:r>
        <w:rPr>
          <w:rFonts w:ascii="宋体" w:hAnsi="宋体"/>
          <w:sz w:val="24"/>
          <w:szCs w:val="24"/>
        </w:rPr>
        <w:t>7</w:t>
      </w:r>
      <w:r>
        <w:rPr>
          <w:rFonts w:ascii="宋体" w:hAnsi="宋体" w:hint="eastAsia"/>
          <w:sz w:val="24"/>
          <w:szCs w:val="24"/>
        </w:rPr>
        <w:t>次临时董事会决议，决定对公司子公司中山市天乙能源有限公司资产摊销年限的会计估计进行变更，具体变更情况如下：</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公司在</w:t>
      </w:r>
      <w:r>
        <w:rPr>
          <w:rFonts w:ascii="宋体" w:hAnsi="宋体"/>
          <w:sz w:val="24"/>
          <w:szCs w:val="24"/>
        </w:rPr>
        <w:t>2015</w:t>
      </w:r>
      <w:r>
        <w:rPr>
          <w:rFonts w:ascii="宋体" w:hAnsi="宋体" w:hint="eastAsia"/>
          <w:sz w:val="24"/>
          <w:szCs w:val="24"/>
        </w:rPr>
        <w:t>年</w:t>
      </w:r>
      <w:r>
        <w:rPr>
          <w:rFonts w:ascii="宋体" w:hAnsi="宋体"/>
          <w:sz w:val="24"/>
          <w:szCs w:val="24"/>
        </w:rPr>
        <w:t>7</w:t>
      </w:r>
      <w:r>
        <w:rPr>
          <w:rFonts w:ascii="宋体" w:hAnsi="宋体" w:hint="eastAsia"/>
          <w:sz w:val="24"/>
          <w:szCs w:val="24"/>
        </w:rPr>
        <w:t>月收购天乙能源</w:t>
      </w:r>
      <w:r>
        <w:rPr>
          <w:rFonts w:ascii="宋体" w:hAnsi="宋体"/>
          <w:sz w:val="24"/>
          <w:szCs w:val="24"/>
        </w:rPr>
        <w:t>100%</w:t>
      </w:r>
      <w:r>
        <w:rPr>
          <w:rFonts w:ascii="宋体" w:hAnsi="宋体" w:hint="eastAsia"/>
          <w:sz w:val="24"/>
          <w:szCs w:val="24"/>
        </w:rPr>
        <w:t>的股权时，天乙能源</w:t>
      </w:r>
      <w:r>
        <w:rPr>
          <w:rFonts w:ascii="宋体" w:hAnsi="宋体"/>
          <w:sz w:val="24"/>
          <w:szCs w:val="24"/>
        </w:rPr>
        <w:t xml:space="preserve">BOT </w:t>
      </w:r>
      <w:r>
        <w:rPr>
          <w:rFonts w:ascii="宋体" w:hAnsi="宋体" w:hint="eastAsia"/>
          <w:sz w:val="24"/>
          <w:szCs w:val="24"/>
        </w:rPr>
        <w:t>资产已经运行了</w:t>
      </w:r>
      <w:r>
        <w:rPr>
          <w:rFonts w:ascii="宋体" w:hAnsi="宋体"/>
          <w:sz w:val="24"/>
          <w:szCs w:val="24"/>
        </w:rPr>
        <w:t xml:space="preserve">6 </w:t>
      </w:r>
      <w:r>
        <w:rPr>
          <w:rFonts w:ascii="宋体" w:hAnsi="宋体" w:hint="eastAsia"/>
          <w:sz w:val="24"/>
          <w:szCs w:val="24"/>
        </w:rPr>
        <w:t>年，主要设备设施一直没有进行大修，设备设施老化和陈旧，资产运行效果较差，日垃圾处理量达不到设计产能，吨垃圾处理发电量较低，基于谨慎原则，收购后延用其原有的资产摊销期限。</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公司收购天乙能源后，不断规范天乙能源运营管理，</w:t>
      </w:r>
      <w:r>
        <w:rPr>
          <w:rFonts w:ascii="宋体" w:hAnsi="宋体"/>
          <w:sz w:val="24"/>
          <w:szCs w:val="24"/>
        </w:rPr>
        <w:t xml:space="preserve">2016 </w:t>
      </w:r>
      <w:r>
        <w:rPr>
          <w:rFonts w:ascii="宋体" w:hAnsi="宋体" w:hint="eastAsia"/>
          <w:sz w:val="24"/>
          <w:szCs w:val="24"/>
        </w:rPr>
        <w:t>年下半年对天乙能源</w:t>
      </w:r>
      <w:r>
        <w:rPr>
          <w:rFonts w:ascii="宋体" w:hAnsi="宋体"/>
          <w:sz w:val="24"/>
          <w:szCs w:val="24"/>
        </w:rPr>
        <w:t xml:space="preserve">BOT </w:t>
      </w:r>
      <w:r>
        <w:rPr>
          <w:rFonts w:ascii="宋体" w:hAnsi="宋体" w:hint="eastAsia"/>
          <w:sz w:val="24"/>
          <w:szCs w:val="24"/>
        </w:rPr>
        <w:t>资产的主要设备设施进行了大修，并经专家组评审验收合格。经过</w:t>
      </w:r>
      <w:r>
        <w:rPr>
          <w:rFonts w:ascii="宋体" w:hAnsi="宋体"/>
          <w:sz w:val="24"/>
          <w:szCs w:val="24"/>
        </w:rPr>
        <w:t xml:space="preserve">2017 </w:t>
      </w:r>
      <w:r>
        <w:rPr>
          <w:rFonts w:ascii="宋体" w:hAnsi="宋体" w:hint="eastAsia"/>
          <w:sz w:val="24"/>
          <w:szCs w:val="24"/>
        </w:rPr>
        <w:t>年上半年的运行，垃圾处理量达到原设计产能，各项运营指标和性能恢复到原设计标准。</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根据《企业会计准则》的规定，结合垃圾焚烧发电行业的特点，以及天乙能源大修后的实际情况，天乙能源</w:t>
      </w:r>
      <w:r>
        <w:rPr>
          <w:rFonts w:ascii="宋体" w:hAnsi="宋体"/>
          <w:sz w:val="24"/>
          <w:szCs w:val="24"/>
        </w:rPr>
        <w:t xml:space="preserve">BOT </w:t>
      </w:r>
      <w:r>
        <w:rPr>
          <w:rFonts w:ascii="宋体" w:hAnsi="宋体" w:hint="eastAsia"/>
          <w:sz w:val="24"/>
          <w:szCs w:val="24"/>
        </w:rPr>
        <w:t>资产经过正常维护和修理预计可以使用至特许经营期末，为了更加准确、真实、完整地反映天乙能源</w:t>
      </w:r>
      <w:r>
        <w:rPr>
          <w:rFonts w:ascii="宋体" w:hAnsi="宋体"/>
          <w:sz w:val="24"/>
          <w:szCs w:val="24"/>
        </w:rPr>
        <w:t xml:space="preserve">BOT </w:t>
      </w:r>
      <w:r>
        <w:rPr>
          <w:rFonts w:ascii="宋体" w:hAnsi="宋体" w:hint="eastAsia"/>
          <w:sz w:val="24"/>
          <w:szCs w:val="24"/>
        </w:rPr>
        <w:t>资产的财务状况和经营成果，公司决定自</w:t>
      </w:r>
      <w:r>
        <w:rPr>
          <w:rFonts w:ascii="宋体" w:hAnsi="宋体"/>
          <w:sz w:val="24"/>
          <w:szCs w:val="24"/>
        </w:rPr>
        <w:t>2017</w:t>
      </w:r>
      <w:r>
        <w:rPr>
          <w:rFonts w:ascii="宋体" w:hAnsi="宋体" w:hint="eastAsia"/>
          <w:sz w:val="24"/>
          <w:szCs w:val="24"/>
        </w:rPr>
        <w:t>年</w:t>
      </w:r>
      <w:r>
        <w:rPr>
          <w:rFonts w:ascii="宋体" w:hAnsi="宋体"/>
          <w:sz w:val="24"/>
          <w:szCs w:val="24"/>
        </w:rPr>
        <w:t>7</w:t>
      </w:r>
      <w:r>
        <w:rPr>
          <w:rFonts w:ascii="宋体" w:hAnsi="宋体" w:hint="eastAsia"/>
          <w:sz w:val="24"/>
          <w:szCs w:val="24"/>
        </w:rPr>
        <w:t>月</w:t>
      </w:r>
      <w:r>
        <w:rPr>
          <w:rFonts w:ascii="宋体" w:hAnsi="宋体"/>
          <w:sz w:val="24"/>
          <w:szCs w:val="24"/>
        </w:rPr>
        <w:t>1</w:t>
      </w:r>
      <w:r>
        <w:rPr>
          <w:rFonts w:ascii="宋体" w:hAnsi="宋体" w:hint="eastAsia"/>
          <w:sz w:val="24"/>
          <w:szCs w:val="24"/>
        </w:rPr>
        <w:t>日起将天乙能源</w:t>
      </w:r>
      <w:r>
        <w:rPr>
          <w:rFonts w:ascii="宋体" w:hAnsi="宋体"/>
          <w:sz w:val="24"/>
          <w:szCs w:val="24"/>
        </w:rPr>
        <w:t xml:space="preserve">BOT </w:t>
      </w:r>
      <w:r>
        <w:rPr>
          <w:rFonts w:ascii="宋体" w:hAnsi="宋体" w:hint="eastAsia"/>
          <w:sz w:val="24"/>
          <w:szCs w:val="24"/>
        </w:rPr>
        <w:t>资产按企业会计准则规定摊销至</w:t>
      </w:r>
      <w:r>
        <w:rPr>
          <w:rFonts w:ascii="宋体" w:hAnsi="宋体"/>
          <w:sz w:val="24"/>
          <w:szCs w:val="24"/>
        </w:rPr>
        <w:t xml:space="preserve">2029 </w:t>
      </w:r>
      <w:r>
        <w:rPr>
          <w:rFonts w:ascii="宋体" w:hAnsi="宋体" w:hint="eastAsia"/>
          <w:sz w:val="24"/>
          <w:szCs w:val="24"/>
        </w:rPr>
        <w:t>年</w:t>
      </w:r>
      <w:r>
        <w:rPr>
          <w:rFonts w:ascii="宋体" w:hAnsi="宋体"/>
          <w:sz w:val="24"/>
          <w:szCs w:val="24"/>
        </w:rPr>
        <w:t xml:space="preserve">3 </w:t>
      </w:r>
      <w:r>
        <w:rPr>
          <w:rFonts w:ascii="宋体" w:hAnsi="宋体" w:hint="eastAsia"/>
          <w:sz w:val="24"/>
          <w:szCs w:val="24"/>
        </w:rPr>
        <w:t>月</w:t>
      </w:r>
      <w:r>
        <w:rPr>
          <w:rFonts w:ascii="宋体" w:hAnsi="宋体"/>
          <w:sz w:val="24"/>
          <w:szCs w:val="24"/>
        </w:rPr>
        <w:t xml:space="preserve">31 </w:t>
      </w:r>
      <w:r>
        <w:rPr>
          <w:rFonts w:ascii="宋体" w:hAnsi="宋体" w:hint="eastAsia"/>
          <w:sz w:val="24"/>
          <w:szCs w:val="24"/>
        </w:rPr>
        <w:t>日（即特许经营协议到期的会计期期末）。根据企业会计准则的规定，本次会计估计变更采用未来适用法进行会计处理。</w:t>
      </w:r>
    </w:p>
    <w:p w:rsidR="00AB3AEE" w:rsidRDefault="008D0794">
      <w:pPr>
        <w:spacing w:before="0" w:after="0" w:line="360" w:lineRule="auto"/>
        <w:ind w:firstLineChars="200" w:firstLine="480"/>
        <w:rPr>
          <w:rFonts w:ascii="宋体"/>
          <w:sz w:val="24"/>
          <w:szCs w:val="24"/>
        </w:rPr>
      </w:pPr>
      <w:r>
        <w:rPr>
          <w:rFonts w:ascii="宋体" w:hAnsi="宋体" w:hint="eastAsia"/>
          <w:sz w:val="24"/>
          <w:szCs w:val="24"/>
        </w:rPr>
        <w:t>本报告期内公司的会计政策变更事项：</w:t>
      </w:r>
    </w:p>
    <w:p w:rsidR="00AB3AEE" w:rsidRDefault="008D0794">
      <w:pPr>
        <w:spacing w:before="0" w:after="0" w:line="360" w:lineRule="auto"/>
        <w:ind w:firstLineChars="200" w:firstLine="480"/>
        <w:rPr>
          <w:rFonts w:ascii="宋体" w:hAnsi="宋体"/>
          <w:sz w:val="24"/>
          <w:szCs w:val="24"/>
        </w:rPr>
      </w:pPr>
      <w:r>
        <w:rPr>
          <w:rFonts w:ascii="宋体" w:hAnsi="宋体" w:hint="eastAsia"/>
          <w:sz w:val="24"/>
          <w:szCs w:val="24"/>
        </w:rPr>
        <w:t>按照财政部</w:t>
      </w:r>
      <w:r>
        <w:rPr>
          <w:rFonts w:ascii="宋体" w:hAnsi="宋体"/>
          <w:sz w:val="24"/>
          <w:szCs w:val="24"/>
        </w:rPr>
        <w:t>2017</w:t>
      </w:r>
      <w:r>
        <w:rPr>
          <w:rFonts w:ascii="宋体" w:hAnsi="宋体" w:hint="eastAsia"/>
          <w:sz w:val="24"/>
          <w:szCs w:val="24"/>
        </w:rPr>
        <w:t>年</w:t>
      </w:r>
      <w:r>
        <w:rPr>
          <w:rFonts w:ascii="宋体" w:hAnsi="宋体"/>
          <w:sz w:val="24"/>
          <w:szCs w:val="24"/>
        </w:rPr>
        <w:t>4</w:t>
      </w:r>
      <w:r>
        <w:rPr>
          <w:rFonts w:ascii="宋体" w:hAnsi="宋体" w:hint="eastAsia"/>
          <w:sz w:val="24"/>
          <w:szCs w:val="24"/>
        </w:rPr>
        <w:t>月</w:t>
      </w:r>
      <w:r>
        <w:rPr>
          <w:rFonts w:ascii="宋体" w:hAnsi="宋体"/>
          <w:sz w:val="24"/>
          <w:szCs w:val="24"/>
        </w:rPr>
        <w:t>28</w:t>
      </w:r>
      <w:r>
        <w:rPr>
          <w:rFonts w:ascii="宋体" w:hAnsi="宋体" w:hint="eastAsia"/>
          <w:sz w:val="24"/>
          <w:szCs w:val="24"/>
        </w:rPr>
        <w:t>日发布的《企业会计准则第</w:t>
      </w:r>
      <w:r>
        <w:rPr>
          <w:rFonts w:ascii="宋体" w:hAnsi="宋体"/>
          <w:sz w:val="24"/>
          <w:szCs w:val="24"/>
        </w:rPr>
        <w:t>42</w:t>
      </w:r>
      <w:r>
        <w:rPr>
          <w:rFonts w:ascii="宋体" w:hAnsi="宋体" w:hint="eastAsia"/>
          <w:sz w:val="24"/>
          <w:szCs w:val="24"/>
        </w:rPr>
        <w:t>号——持有待售的非流动资产、处置组和终止经营》、</w:t>
      </w:r>
      <w:r>
        <w:rPr>
          <w:rFonts w:ascii="宋体" w:hAnsi="宋体"/>
          <w:sz w:val="24"/>
          <w:szCs w:val="24"/>
        </w:rPr>
        <w:t xml:space="preserve"> 2017 </w:t>
      </w:r>
      <w:r>
        <w:rPr>
          <w:rFonts w:ascii="宋体" w:hAnsi="宋体" w:hint="eastAsia"/>
          <w:sz w:val="24"/>
          <w:szCs w:val="24"/>
        </w:rPr>
        <w:t>年</w:t>
      </w:r>
      <w:r>
        <w:rPr>
          <w:rFonts w:ascii="宋体" w:hAnsi="宋体"/>
          <w:sz w:val="24"/>
          <w:szCs w:val="24"/>
        </w:rPr>
        <w:t xml:space="preserve"> 5 </w:t>
      </w:r>
      <w:r>
        <w:rPr>
          <w:rFonts w:ascii="宋体" w:hAnsi="宋体" w:hint="eastAsia"/>
          <w:sz w:val="24"/>
          <w:szCs w:val="24"/>
        </w:rPr>
        <w:t>月</w:t>
      </w:r>
      <w:r>
        <w:rPr>
          <w:rFonts w:ascii="宋体" w:hAnsi="宋体"/>
          <w:sz w:val="24"/>
          <w:szCs w:val="24"/>
        </w:rPr>
        <w:t xml:space="preserve"> 10 </w:t>
      </w:r>
      <w:r>
        <w:rPr>
          <w:rFonts w:ascii="宋体" w:hAnsi="宋体" w:hint="eastAsia"/>
          <w:sz w:val="24"/>
          <w:szCs w:val="24"/>
        </w:rPr>
        <w:t>日修订的《企业会计准则第</w:t>
      </w:r>
      <w:r>
        <w:rPr>
          <w:rFonts w:ascii="宋体" w:hAnsi="宋体"/>
          <w:sz w:val="24"/>
          <w:szCs w:val="24"/>
        </w:rPr>
        <w:t xml:space="preserve"> 16 </w:t>
      </w:r>
      <w:r>
        <w:rPr>
          <w:rFonts w:ascii="宋体" w:hAnsi="宋体" w:hint="eastAsia"/>
          <w:sz w:val="24"/>
          <w:szCs w:val="24"/>
        </w:rPr>
        <w:t>号—政府补助》、</w:t>
      </w:r>
      <w:r>
        <w:rPr>
          <w:rFonts w:ascii="宋体" w:hAnsi="宋体"/>
          <w:sz w:val="24"/>
          <w:szCs w:val="24"/>
        </w:rPr>
        <w:t>2017</w:t>
      </w:r>
      <w:r>
        <w:rPr>
          <w:rFonts w:ascii="宋体" w:hAnsi="宋体" w:hint="eastAsia"/>
          <w:sz w:val="24"/>
          <w:szCs w:val="24"/>
        </w:rPr>
        <w:t>年</w:t>
      </w:r>
      <w:r>
        <w:rPr>
          <w:rFonts w:ascii="宋体" w:hAnsi="宋体"/>
          <w:sz w:val="24"/>
          <w:szCs w:val="24"/>
        </w:rPr>
        <w:t>12</w:t>
      </w:r>
      <w:r>
        <w:rPr>
          <w:rFonts w:ascii="宋体" w:hAnsi="宋体" w:hint="eastAsia"/>
          <w:sz w:val="24"/>
          <w:szCs w:val="24"/>
        </w:rPr>
        <w:t>月</w:t>
      </w:r>
      <w:r>
        <w:rPr>
          <w:rFonts w:ascii="宋体" w:hAnsi="宋体"/>
          <w:sz w:val="24"/>
          <w:szCs w:val="24"/>
        </w:rPr>
        <w:t>25</w:t>
      </w:r>
      <w:r>
        <w:rPr>
          <w:rFonts w:ascii="宋体" w:hAnsi="宋体" w:hint="eastAsia"/>
          <w:sz w:val="24"/>
          <w:szCs w:val="24"/>
        </w:rPr>
        <w:t>日发布的《关于修订印发一般企业财务报表格式的通知》（财会</w:t>
      </w:r>
      <w:r>
        <w:rPr>
          <w:rFonts w:ascii="宋体" w:hAnsi="宋体"/>
          <w:sz w:val="24"/>
          <w:szCs w:val="24"/>
        </w:rPr>
        <w:t>[2017]30</w:t>
      </w:r>
      <w:r>
        <w:rPr>
          <w:rFonts w:ascii="宋体" w:hAnsi="宋体" w:hint="eastAsia"/>
          <w:sz w:val="24"/>
          <w:szCs w:val="24"/>
        </w:rPr>
        <w:t>号）中的规定执行。于以上文件规定的起始日开始执行上述企业会计准则。</w:t>
      </w:r>
      <w:r>
        <w:rPr>
          <w:rFonts w:ascii="宋体" w:hAnsi="宋体"/>
          <w:sz w:val="24"/>
          <w:szCs w:val="24"/>
        </w:rPr>
        <w:t xml:space="preserve"> </w:t>
      </w:r>
    </w:p>
    <w:p w:rsidR="00AB3AEE" w:rsidRDefault="008D0794">
      <w:pPr>
        <w:spacing w:before="0" w:after="0" w:line="360" w:lineRule="auto"/>
        <w:ind w:firstLineChars="200" w:firstLine="480"/>
        <w:rPr>
          <w:rFonts w:ascii="宋体"/>
          <w:sz w:val="28"/>
          <w:szCs w:val="28"/>
          <w:lang w:val="zh-CN"/>
        </w:rPr>
      </w:pPr>
      <w:r>
        <w:rPr>
          <w:rFonts w:ascii="宋体" w:hAnsi="宋体" w:hint="eastAsia"/>
          <w:sz w:val="24"/>
          <w:szCs w:val="24"/>
        </w:rPr>
        <w:t>其他未变更部分，仍按照财政部前期发布的《企业会计准则——基本准则》和各项具体会计准则、企业会计准则应用指南、企业会计准则解释公告以及其他相关规定执行。</w:t>
      </w:r>
    </w:p>
    <w:p w:rsidR="00AB3AEE" w:rsidRDefault="008D0794">
      <w:pPr>
        <w:pStyle w:val="Chapter"/>
        <w:spacing w:before="0" w:after="0" w:line="360" w:lineRule="auto"/>
        <w:outlineLvl w:val="1"/>
        <w:rPr>
          <w:rFonts w:ascii="宋体"/>
        </w:rPr>
      </w:pPr>
      <w:r>
        <w:rPr>
          <w:rFonts w:ascii="宋体" w:hAnsi="宋体" w:hint="eastAsia"/>
        </w:rPr>
        <w:t>（</w:t>
      </w:r>
      <w:r>
        <w:rPr>
          <w:rFonts w:ascii="宋体" w:hAnsi="宋体"/>
        </w:rPr>
        <w:t>2</w:t>
      </w:r>
      <w:r>
        <w:rPr>
          <w:rFonts w:ascii="宋体" w:hAnsi="宋体" w:hint="eastAsia"/>
        </w:rPr>
        <w:t>）报告期内发生重大会计差错更正需追溯重述的情况说明</w:t>
      </w:r>
    </w:p>
    <w:p w:rsidR="00AB3AEE" w:rsidRDefault="008D0794">
      <w:pPr>
        <w:spacing w:before="0" w:after="0"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AB3AEE" w:rsidRDefault="008D0794">
      <w:pPr>
        <w:spacing w:before="0" w:after="0" w:line="360" w:lineRule="auto"/>
        <w:jc w:val="left"/>
        <w:rPr>
          <w:rFonts w:ascii="宋体"/>
          <w:sz w:val="24"/>
          <w:szCs w:val="24"/>
        </w:rPr>
      </w:pPr>
      <w:r>
        <w:rPr>
          <w:rFonts w:ascii="宋体" w:hAnsi="宋体" w:hint="eastAsia"/>
          <w:sz w:val="24"/>
          <w:szCs w:val="24"/>
        </w:rPr>
        <w:t>公司报告期无重大会计差错更正需追溯重述的情况。</w:t>
      </w:r>
    </w:p>
    <w:p w:rsidR="00AB3AEE" w:rsidRDefault="008D0794">
      <w:pPr>
        <w:pStyle w:val="Chapter"/>
        <w:spacing w:before="0" w:after="0" w:line="360" w:lineRule="auto"/>
        <w:outlineLvl w:val="1"/>
        <w:rPr>
          <w:rFonts w:ascii="宋体"/>
        </w:rPr>
      </w:pPr>
      <w:r>
        <w:rPr>
          <w:rFonts w:ascii="宋体" w:hAnsi="宋体" w:hint="eastAsia"/>
        </w:rPr>
        <w:t>（</w:t>
      </w:r>
      <w:r>
        <w:rPr>
          <w:rFonts w:ascii="宋体" w:hAnsi="宋体"/>
        </w:rPr>
        <w:t>3</w:t>
      </w:r>
      <w:r>
        <w:rPr>
          <w:rFonts w:ascii="宋体" w:hAnsi="宋体" w:hint="eastAsia"/>
        </w:rPr>
        <w:t>）与上年度财务报告相比，合并报表范围发生变化的情况说明</w:t>
      </w:r>
    </w:p>
    <w:p w:rsidR="00AB3AEE" w:rsidRDefault="008D0794">
      <w:pPr>
        <w:spacing w:before="0" w:after="0" w:line="360" w:lineRule="auto"/>
        <w:ind w:firstLineChars="200" w:firstLine="480"/>
        <w:jc w:val="left"/>
        <w:rPr>
          <w:rFonts w:ascii="宋体" w:hAnsi="宋体"/>
          <w:sz w:val="24"/>
          <w:szCs w:val="24"/>
        </w:rPr>
      </w:pPr>
      <w:r>
        <w:rPr>
          <w:rFonts w:ascii="宋体" w:hAnsi="宋体" w:hint="eastAsia"/>
          <w:sz w:val="24"/>
          <w:szCs w:val="24"/>
        </w:rPr>
        <w:t>√</w:t>
      </w:r>
      <w:r>
        <w:rPr>
          <w:rFonts w:ascii="宋体" w:hAnsi="宋体"/>
          <w:sz w:val="24"/>
          <w:szCs w:val="24"/>
        </w:rPr>
        <w:t xml:space="preserve"> </w:t>
      </w:r>
      <w:r>
        <w:rPr>
          <w:rFonts w:ascii="宋体" w:hAnsi="宋体" w:hint="eastAsia"/>
          <w:sz w:val="24"/>
          <w:szCs w:val="24"/>
        </w:rPr>
        <w:t>适用</w:t>
      </w:r>
      <w:r>
        <w:rPr>
          <w:rFonts w:ascii="宋体" w:hAnsi="宋体"/>
          <w:sz w:val="24"/>
          <w:szCs w:val="24"/>
        </w:rPr>
        <w:t xml:space="preserve"> </w:t>
      </w:r>
      <w:r>
        <w:rPr>
          <w:rFonts w:ascii="宋体" w:hAnsi="宋体" w:hint="eastAsia"/>
          <w:sz w:val="24"/>
          <w:szCs w:val="24"/>
        </w:rPr>
        <w:t>□</w:t>
      </w:r>
      <w:r>
        <w:rPr>
          <w:rFonts w:ascii="宋体" w:hAnsi="宋体"/>
          <w:sz w:val="24"/>
          <w:szCs w:val="24"/>
        </w:rPr>
        <w:t xml:space="preserve"> </w:t>
      </w:r>
      <w:r>
        <w:rPr>
          <w:rFonts w:ascii="宋体" w:hAnsi="宋体" w:hint="eastAsia"/>
          <w:sz w:val="24"/>
          <w:szCs w:val="24"/>
        </w:rPr>
        <w:t>不适用</w:t>
      </w:r>
      <w:r>
        <w:rPr>
          <w:rFonts w:ascii="宋体" w:hAnsi="宋体"/>
          <w:sz w:val="24"/>
          <w:szCs w:val="24"/>
        </w:rPr>
        <w:t xml:space="preserve"> </w:t>
      </w:r>
    </w:p>
    <w:p w:rsidR="00AB3AEE" w:rsidRDefault="008D0794">
      <w:pPr>
        <w:spacing w:before="0" w:after="0" w:line="360" w:lineRule="auto"/>
        <w:ind w:firstLineChars="200" w:firstLine="480"/>
        <w:jc w:val="left"/>
        <w:rPr>
          <w:sz w:val="24"/>
          <w:szCs w:val="24"/>
          <w:lang w:val="zh-CN"/>
        </w:rPr>
      </w:pPr>
      <w:r>
        <w:rPr>
          <w:rFonts w:ascii="宋体" w:hAnsi="宋体" w:hint="eastAsia"/>
          <w:sz w:val="24"/>
          <w:szCs w:val="24"/>
          <w:lang w:val="zh-CN"/>
        </w:rPr>
        <w:t>公司下属公司中山公用商贸有限公司于</w:t>
      </w:r>
      <w:r>
        <w:rPr>
          <w:rFonts w:ascii="宋体" w:hAnsi="宋体"/>
          <w:sz w:val="24"/>
          <w:szCs w:val="24"/>
          <w:lang w:val="zh-CN"/>
        </w:rPr>
        <w:t>2017</w:t>
      </w:r>
      <w:r>
        <w:rPr>
          <w:rFonts w:ascii="宋体" w:hAnsi="宋体" w:hint="eastAsia"/>
          <w:sz w:val="24"/>
          <w:szCs w:val="24"/>
          <w:lang w:val="zh-CN"/>
        </w:rPr>
        <w:t>年</w:t>
      </w:r>
      <w:r>
        <w:rPr>
          <w:rFonts w:ascii="宋体" w:hAnsi="宋体"/>
          <w:sz w:val="24"/>
          <w:szCs w:val="24"/>
          <w:lang w:val="zh-CN"/>
        </w:rPr>
        <w:t>11</w:t>
      </w:r>
      <w:r>
        <w:rPr>
          <w:rFonts w:ascii="宋体" w:hAnsi="宋体" w:hint="eastAsia"/>
          <w:sz w:val="24"/>
          <w:szCs w:val="24"/>
          <w:lang w:val="zh-CN"/>
        </w:rPr>
        <w:t>月</w:t>
      </w:r>
      <w:r>
        <w:rPr>
          <w:rFonts w:ascii="宋体" w:hAnsi="宋体"/>
          <w:sz w:val="24"/>
          <w:szCs w:val="24"/>
          <w:lang w:val="zh-CN"/>
        </w:rPr>
        <w:t>29</w:t>
      </w:r>
      <w:r>
        <w:rPr>
          <w:rFonts w:ascii="宋体" w:hAnsi="宋体" w:hint="eastAsia"/>
          <w:sz w:val="24"/>
          <w:szCs w:val="24"/>
          <w:lang w:val="zh-CN"/>
        </w:rPr>
        <w:t>日注销，自注销之日起不再纳入合并范围内。</w:t>
      </w:r>
    </w:p>
    <w:p w:rsidR="00AB3AEE" w:rsidRDefault="00AB3AEE">
      <w:pPr>
        <w:spacing w:before="0" w:after="0" w:line="360" w:lineRule="auto"/>
        <w:ind w:firstLineChars="200" w:firstLine="480"/>
        <w:jc w:val="right"/>
        <w:rPr>
          <w:rFonts w:ascii="宋体"/>
          <w:sz w:val="24"/>
          <w:szCs w:val="24"/>
          <w:lang w:val="zh-CN"/>
        </w:rPr>
      </w:pPr>
    </w:p>
    <w:p w:rsidR="00AB3AEE" w:rsidRDefault="00AB3AEE">
      <w:pPr>
        <w:spacing w:before="0" w:after="0" w:line="360" w:lineRule="auto"/>
        <w:ind w:firstLineChars="200" w:firstLine="480"/>
        <w:jc w:val="right"/>
        <w:rPr>
          <w:rFonts w:ascii="宋体"/>
          <w:sz w:val="24"/>
          <w:szCs w:val="24"/>
          <w:lang w:val="zh-CN"/>
        </w:rPr>
      </w:pPr>
    </w:p>
    <w:p w:rsidR="003D752C" w:rsidRDefault="008D0794">
      <w:pPr>
        <w:spacing w:before="0" w:after="0" w:line="360" w:lineRule="auto"/>
        <w:ind w:firstLineChars="200" w:firstLine="480"/>
        <w:jc w:val="right"/>
        <w:rPr>
          <w:rFonts w:ascii="宋体"/>
          <w:sz w:val="24"/>
          <w:szCs w:val="24"/>
          <w:lang w:val="zh-CN"/>
        </w:rPr>
      </w:pPr>
      <w:r>
        <w:rPr>
          <w:rFonts w:ascii="宋体" w:hint="eastAsia"/>
          <w:sz w:val="24"/>
          <w:szCs w:val="24"/>
          <w:lang w:val="zh-CN"/>
        </w:rPr>
        <w:t>中山公用事业集团股份有限公司</w:t>
      </w:r>
    </w:p>
    <w:p w:rsidR="00AB3AEE" w:rsidRDefault="008D0794" w:rsidP="003D752C">
      <w:pPr>
        <w:spacing w:before="0" w:after="0" w:line="360" w:lineRule="auto"/>
        <w:ind w:firstLineChars="3150" w:firstLine="7560"/>
        <w:rPr>
          <w:rFonts w:ascii="宋体"/>
          <w:sz w:val="24"/>
          <w:szCs w:val="24"/>
          <w:lang w:val="zh-CN"/>
        </w:rPr>
      </w:pPr>
      <w:r>
        <w:rPr>
          <w:rFonts w:ascii="宋体" w:hint="eastAsia"/>
          <w:sz w:val="24"/>
          <w:szCs w:val="24"/>
          <w:lang w:val="zh-CN"/>
        </w:rPr>
        <w:t>董事会</w:t>
      </w:r>
    </w:p>
    <w:p w:rsidR="00AB3AEE" w:rsidRDefault="003D752C" w:rsidP="003D752C">
      <w:pPr>
        <w:spacing w:before="0" w:after="0" w:line="360" w:lineRule="auto"/>
        <w:ind w:firstLineChars="200" w:firstLine="480"/>
        <w:rPr>
          <w:rFonts w:ascii="宋体"/>
          <w:sz w:val="24"/>
          <w:szCs w:val="24"/>
          <w:lang w:val="zh-CN"/>
        </w:rPr>
      </w:pPr>
      <w:r>
        <w:rPr>
          <w:rFonts w:ascii="宋体" w:hint="eastAsia"/>
          <w:sz w:val="24"/>
          <w:szCs w:val="24"/>
          <w:lang w:val="zh-CN"/>
        </w:rPr>
        <w:t xml:space="preserve">                                                   </w:t>
      </w:r>
      <w:r w:rsidR="00AB2E2C">
        <w:rPr>
          <w:rFonts w:ascii="宋体" w:hint="eastAsia"/>
          <w:sz w:val="24"/>
          <w:szCs w:val="24"/>
          <w:lang w:val="zh-CN"/>
        </w:rPr>
        <w:t xml:space="preserve"> </w:t>
      </w:r>
      <w:r>
        <w:rPr>
          <w:rFonts w:ascii="宋体" w:hint="eastAsia"/>
          <w:sz w:val="24"/>
          <w:szCs w:val="24"/>
          <w:lang w:val="zh-CN"/>
        </w:rPr>
        <w:t>二〇一八年四</w:t>
      </w:r>
      <w:r w:rsidR="008D0794">
        <w:rPr>
          <w:rFonts w:ascii="宋体" w:hint="eastAsia"/>
          <w:sz w:val="24"/>
          <w:szCs w:val="24"/>
          <w:lang w:val="zh-CN"/>
        </w:rPr>
        <w:t>月</w:t>
      </w:r>
      <w:r>
        <w:rPr>
          <w:rFonts w:ascii="宋体" w:hint="eastAsia"/>
          <w:sz w:val="24"/>
          <w:szCs w:val="24"/>
          <w:lang w:val="zh-CN"/>
        </w:rPr>
        <w:t>十九</w:t>
      </w:r>
      <w:r w:rsidR="008D0794">
        <w:rPr>
          <w:rFonts w:ascii="宋体" w:hint="eastAsia"/>
          <w:sz w:val="24"/>
          <w:szCs w:val="24"/>
          <w:lang w:val="zh-CN"/>
        </w:rPr>
        <w:t>日</w:t>
      </w:r>
      <w:r w:rsidR="008D0794">
        <w:rPr>
          <w:rFonts w:ascii="宋体"/>
          <w:sz w:val="24"/>
          <w:szCs w:val="24"/>
        </w:rPr>
        <w:t xml:space="preserve">        </w:t>
      </w:r>
    </w:p>
    <w:p w:rsidR="008D0794" w:rsidRDefault="008D0794">
      <w:pPr>
        <w:autoSpaceDE w:val="0"/>
        <w:autoSpaceDN w:val="0"/>
        <w:adjustRightInd w:val="0"/>
        <w:spacing w:before="0" w:after="0"/>
        <w:jc w:val="left"/>
        <w:rPr>
          <w:rFonts w:ascii="宋体"/>
          <w:lang w:val="zh-CN"/>
        </w:rPr>
      </w:pPr>
    </w:p>
    <w:sectPr w:rsidR="008D0794">
      <w:headerReference w:type="default" r:id="rId9"/>
      <w:footerReference w:type="default" r:id="rId10"/>
      <w:pgSz w:w="11906" w:h="16838"/>
      <w:pgMar w:top="1440" w:right="1134" w:bottom="1440"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87C" w:rsidRDefault="0016587C">
      <w:pPr>
        <w:autoSpaceDE w:val="0"/>
        <w:autoSpaceDN w:val="0"/>
        <w:adjustRightInd w:val="0"/>
        <w:spacing w:before="0" w:after="0"/>
        <w:jc w:val="left"/>
        <w:rPr>
          <w:rFonts w:cs="Times New Roman"/>
          <w:kern w:val="0"/>
          <w:sz w:val="24"/>
          <w:szCs w:val="24"/>
        </w:rPr>
      </w:pPr>
      <w:r>
        <w:rPr>
          <w:rFonts w:cs="Times New Roman"/>
          <w:kern w:val="0"/>
          <w:sz w:val="24"/>
          <w:szCs w:val="24"/>
        </w:rPr>
        <w:separator/>
      </w:r>
    </w:p>
  </w:endnote>
  <w:endnote w:type="continuationSeparator" w:id="0">
    <w:p w:rsidR="0016587C" w:rsidRDefault="0016587C">
      <w:pPr>
        <w:autoSpaceDE w:val="0"/>
        <w:autoSpaceDN w:val="0"/>
        <w:adjustRightInd w:val="0"/>
        <w:spacing w:before="0" w:after="0"/>
        <w:jc w:val="left"/>
        <w:rPr>
          <w:rFonts w:cs="Times New Roman"/>
          <w:kern w:val="0"/>
          <w:sz w:val="24"/>
          <w:szCs w:val="24"/>
        </w:rPr>
      </w:pPr>
      <w:r>
        <w:rPr>
          <w:rFonts w:cs="Times New Roman"/>
          <w:kern w:val="0"/>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EE" w:rsidRDefault="008D0794">
    <w:pPr>
      <w:rPr>
        <w:rFonts w:eastAsia="Times New Roman" w:cs="Times New Roman"/>
      </w:rPr>
    </w:pPr>
    <w:r>
      <w:rPr>
        <w:rFonts w:cs="Times New Roman"/>
      </w:rPr>
      <w:fldChar w:fldCharType="begin"/>
    </w:r>
    <w:r>
      <w:rPr>
        <w:rFonts w:cs="Times New Roman"/>
      </w:rPr>
      <w:instrText xml:space="preserve"> PAGE </w:instrText>
    </w:r>
    <w:r>
      <w:rPr>
        <w:rFonts w:cs="Times New Roman"/>
      </w:rPr>
      <w:fldChar w:fldCharType="separate"/>
    </w:r>
    <w:r w:rsidR="002607BF">
      <w:rPr>
        <w:rFonts w:cs="Times New Roman"/>
        <w:noProof/>
      </w:rPr>
      <w:t>1</w:t>
    </w:r>
    <w:r>
      <w:rPr>
        <w:rFonts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87C" w:rsidRDefault="0016587C">
      <w:pPr>
        <w:autoSpaceDE w:val="0"/>
        <w:autoSpaceDN w:val="0"/>
        <w:adjustRightInd w:val="0"/>
        <w:spacing w:before="0" w:after="0"/>
        <w:jc w:val="left"/>
        <w:rPr>
          <w:rFonts w:cs="Times New Roman"/>
          <w:kern w:val="0"/>
          <w:sz w:val="24"/>
          <w:szCs w:val="24"/>
        </w:rPr>
      </w:pPr>
      <w:r>
        <w:rPr>
          <w:rFonts w:cs="Times New Roman"/>
          <w:kern w:val="0"/>
          <w:sz w:val="24"/>
          <w:szCs w:val="24"/>
        </w:rPr>
        <w:separator/>
      </w:r>
    </w:p>
  </w:footnote>
  <w:footnote w:type="continuationSeparator" w:id="0">
    <w:p w:rsidR="0016587C" w:rsidRDefault="0016587C">
      <w:pPr>
        <w:autoSpaceDE w:val="0"/>
        <w:autoSpaceDN w:val="0"/>
        <w:adjustRightInd w:val="0"/>
        <w:spacing w:before="0" w:after="0"/>
        <w:jc w:val="left"/>
        <w:rPr>
          <w:rFonts w:cs="Times New Roman"/>
          <w:kern w:val="0"/>
          <w:sz w:val="24"/>
          <w:szCs w:val="24"/>
        </w:rPr>
      </w:pPr>
      <w:r>
        <w:rPr>
          <w:rFonts w:cs="Times New Roman"/>
          <w:kern w:val="0"/>
          <w:sz w:val="24"/>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EE" w:rsidRDefault="008D0794">
    <w:pPr>
      <w:pBdr>
        <w:bottom w:val="single" w:sz="4" w:space="0" w:color="auto"/>
      </w:pBdr>
      <w:jc w:val="right"/>
      <w:rPr>
        <w:rFonts w:cs="Times New Roman"/>
      </w:rPr>
    </w:pPr>
    <w:r>
      <w:rPr>
        <w:rFonts w:hint="eastAsia"/>
      </w:rPr>
      <w:t>中山公用事业集团股份有限公司</w:t>
    </w:r>
    <w:r>
      <w:rPr>
        <w:rFonts w:cs="Times New Roman"/>
      </w:rPr>
      <w:t>2017</w:t>
    </w:r>
    <w:r>
      <w:rPr>
        <w:rFonts w:hint="eastAsia"/>
      </w:rPr>
      <w:t>年年度报告摘要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70D3EE"/>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E3688EE4"/>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92B49E4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B8CA944C"/>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E63401EE"/>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59C8C8B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AF76AE0A"/>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9DC63C8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29DC5D6E"/>
    <w:lvl w:ilvl="0">
      <w:start w:val="1"/>
      <w:numFmt w:val="decimal"/>
      <w:lvlText w:val="%1."/>
      <w:lvlJc w:val="left"/>
      <w:pPr>
        <w:tabs>
          <w:tab w:val="num" w:pos="360"/>
        </w:tabs>
        <w:ind w:left="360" w:hangingChars="200" w:hanging="360"/>
      </w:pPr>
    </w:lvl>
  </w:abstractNum>
  <w:abstractNum w:abstractNumId="9">
    <w:nsid w:val="FFFFFF89"/>
    <w:multiLevelType w:val="singleLevel"/>
    <w:tmpl w:val="F7FC3294"/>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F6"/>
    <w:rsid w:val="0016587C"/>
    <w:rsid w:val="001F5308"/>
    <w:rsid w:val="002607BF"/>
    <w:rsid w:val="003D752C"/>
    <w:rsid w:val="00533EF0"/>
    <w:rsid w:val="00695C5E"/>
    <w:rsid w:val="006A004F"/>
    <w:rsid w:val="006C51AD"/>
    <w:rsid w:val="008D0794"/>
    <w:rsid w:val="009F2B83"/>
    <w:rsid w:val="00AA3AD7"/>
    <w:rsid w:val="00AB2E2C"/>
    <w:rsid w:val="00AB3AEE"/>
    <w:rsid w:val="00C241FA"/>
    <w:rsid w:val="00EE6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annotation text" w:unhideWhenUsed="1"/>
    <w:lsdException w:name="header" w:unhideWhenUsed="1" w:qFormat="0"/>
    <w:lsdException w:name="footer" w:unhideWhenUsed="1" w:qFormat="0"/>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Balloon Text" w:unhideWhenUsed="1"/>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spacing w:before="40" w:after="40"/>
      <w:jc w:val="both"/>
    </w:pPr>
    <w:rPr>
      <w:rFonts w:cs="宋体"/>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unhideWhenUsed/>
    <w:locked/>
    <w:rPr>
      <w:rFonts w:ascii="宋体" w:cs="宋体"/>
      <w:sz w:val="18"/>
      <w:szCs w:val="18"/>
    </w:rPr>
  </w:style>
  <w:style w:type="character" w:customStyle="1" w:styleId="Char0">
    <w:name w:val="批注文字 Char"/>
    <w:basedOn w:val="a0"/>
    <w:link w:val="a4"/>
    <w:uiPriority w:val="99"/>
    <w:unhideWhenUsed/>
    <w:locked/>
    <w:rPr>
      <w:rFonts w:ascii="宋体" w:cs="宋体"/>
      <w:sz w:val="18"/>
      <w:szCs w:val="18"/>
    </w:rPr>
  </w:style>
  <w:style w:type="character" w:customStyle="1" w:styleId="Char1">
    <w:name w:val="页眉 Char"/>
    <w:basedOn w:val="a0"/>
    <w:link w:val="a5"/>
    <w:uiPriority w:val="99"/>
    <w:unhideWhenUsed/>
    <w:locked/>
    <w:rPr>
      <w:rFonts w:ascii="宋体" w:cs="宋体"/>
      <w:sz w:val="18"/>
      <w:szCs w:val="18"/>
    </w:rPr>
  </w:style>
  <w:style w:type="character" w:customStyle="1" w:styleId="Char2">
    <w:name w:val="标题 Char"/>
    <w:basedOn w:val="a0"/>
    <w:link w:val="a6"/>
    <w:uiPriority w:val="10"/>
    <w:unhideWhenUsed/>
    <w:locked/>
    <w:rPr>
      <w:rFonts w:ascii="Calibri Light" w:cs="Calibri Light"/>
      <w:b/>
      <w:bCs/>
      <w:sz w:val="32"/>
      <w:szCs w:val="32"/>
    </w:rPr>
  </w:style>
  <w:style w:type="character" w:customStyle="1" w:styleId="Char3">
    <w:name w:val="批注框文本 Char"/>
    <w:basedOn w:val="a0"/>
    <w:link w:val="a7"/>
    <w:uiPriority w:val="99"/>
    <w:unhideWhenUsed/>
    <w:locked/>
    <w:rPr>
      <w:rFonts w:ascii="宋体" w:cs="宋体"/>
      <w:sz w:val="18"/>
      <w:szCs w:val="18"/>
    </w:rPr>
  </w:style>
  <w:style w:type="paragraph" w:customStyle="1" w:styleId="Chapter">
    <w:name w:val="Chapter"/>
    <w:next w:val="a"/>
    <w:uiPriority w:val="99"/>
    <w:unhideWhenUsed/>
    <w:pPr>
      <w:keepNext/>
      <w:keepLines/>
      <w:widowControl w:val="0"/>
      <w:spacing w:before="300" w:after="300" w:line="241" w:lineRule="auto"/>
      <w:jc w:val="both"/>
    </w:pPr>
    <w:rPr>
      <w:rFonts w:cs="宋体"/>
      <w:b/>
      <w:bCs/>
      <w:kern w:val="28"/>
      <w:sz w:val="24"/>
      <w:szCs w:val="24"/>
    </w:rPr>
  </w:style>
  <w:style w:type="paragraph" w:styleId="a4">
    <w:name w:val="annotation text"/>
    <w:basedOn w:val="a"/>
    <w:link w:val="Char0"/>
    <w:uiPriority w:val="99"/>
    <w:unhideWhenUsed/>
    <w:qFormat/>
    <w:pPr>
      <w:jc w:val="left"/>
    </w:pPr>
  </w:style>
  <w:style w:type="character" w:customStyle="1" w:styleId="Char10">
    <w:name w:val="批注文字 Char1"/>
    <w:basedOn w:val="a0"/>
    <w:uiPriority w:val="99"/>
    <w:semiHidden/>
    <w:rPr>
      <w:rFonts w:cs="宋体"/>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before="0" w:after="0"/>
      <w:jc w:val="right"/>
    </w:pPr>
  </w:style>
  <w:style w:type="character" w:customStyle="1" w:styleId="Char11">
    <w:name w:val="页眉 Char1"/>
    <w:basedOn w:val="a0"/>
    <w:uiPriority w:val="99"/>
    <w:semiHidden/>
    <w:rPr>
      <w:rFonts w:cs="宋体"/>
      <w:sz w:val="18"/>
      <w:szCs w:val="18"/>
    </w:rPr>
  </w:style>
  <w:style w:type="paragraph" w:styleId="a3">
    <w:name w:val="footer"/>
    <w:basedOn w:val="a"/>
    <w:link w:val="Char"/>
    <w:uiPriority w:val="99"/>
    <w:unhideWhenUsed/>
    <w:pPr>
      <w:tabs>
        <w:tab w:val="center" w:pos="4153"/>
        <w:tab w:val="right" w:pos="8306"/>
      </w:tabs>
      <w:snapToGrid w:val="0"/>
      <w:spacing w:before="0" w:after="0"/>
      <w:jc w:val="right"/>
    </w:pPr>
  </w:style>
  <w:style w:type="character" w:customStyle="1" w:styleId="Char12">
    <w:name w:val="页脚 Char1"/>
    <w:basedOn w:val="a0"/>
    <w:uiPriority w:val="99"/>
    <w:semiHidden/>
    <w:rPr>
      <w:rFonts w:cs="宋体"/>
      <w:sz w:val="18"/>
      <w:szCs w:val="18"/>
    </w:rPr>
  </w:style>
  <w:style w:type="paragraph" w:styleId="a7">
    <w:name w:val="Balloon Text"/>
    <w:basedOn w:val="a"/>
    <w:link w:val="Char3"/>
    <w:uiPriority w:val="99"/>
    <w:unhideWhenUsed/>
    <w:qFormat/>
    <w:pPr>
      <w:spacing w:before="0" w:after="0"/>
    </w:pPr>
  </w:style>
  <w:style w:type="character" w:customStyle="1" w:styleId="Char13">
    <w:name w:val="批注框文本 Char1"/>
    <w:basedOn w:val="a0"/>
    <w:uiPriority w:val="99"/>
    <w:semiHidden/>
    <w:rPr>
      <w:rFonts w:cs="宋体"/>
      <w:sz w:val="18"/>
      <w:szCs w:val="18"/>
    </w:rPr>
  </w:style>
  <w:style w:type="paragraph" w:styleId="a6">
    <w:name w:val="Title"/>
    <w:basedOn w:val="a"/>
    <w:next w:val="a"/>
    <w:link w:val="Char2"/>
    <w:uiPriority w:val="99"/>
    <w:qFormat/>
    <w:pPr>
      <w:keepNext/>
      <w:keepLines/>
      <w:spacing w:before="340" w:after="330" w:line="578" w:lineRule="auto"/>
      <w:jc w:val="center"/>
    </w:pPr>
    <w:rPr>
      <w:b/>
      <w:bCs/>
      <w:kern w:val="32"/>
      <w:sz w:val="32"/>
      <w:szCs w:val="32"/>
    </w:rPr>
  </w:style>
  <w:style w:type="character" w:customStyle="1" w:styleId="Char14">
    <w:name w:val="标题 Char1"/>
    <w:basedOn w:val="a0"/>
    <w:uiPriority w:val="10"/>
    <w:rPr>
      <w:rFonts w:asciiTheme="majorHAnsi" w:hAnsiTheme="majorHAnsi" w:cstheme="majorBidi"/>
      <w:b/>
      <w:bCs/>
      <w:sz w:val="32"/>
      <w:szCs w:val="32"/>
    </w:rPr>
  </w:style>
  <w:style w:type="paragraph" w:customStyle="1" w:styleId="Section">
    <w:name w:val="Section"/>
    <w:next w:val="a"/>
    <w:uiPriority w:val="99"/>
    <w:unhideWhenUsed/>
    <w:pPr>
      <w:keepNext/>
      <w:keepLines/>
      <w:widowControl w:val="0"/>
      <w:spacing w:before="300" w:after="300" w:line="241" w:lineRule="auto"/>
      <w:jc w:val="both"/>
    </w:pPr>
    <w:rPr>
      <w:rFonts w:cs="宋体"/>
      <w:b/>
      <w:bCs/>
      <w:kern w:val="28"/>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1" w:count="267">
    <w:lsdException w:name="Normal" w:uiPriority="0"/>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annotation text" w:unhideWhenUsed="1"/>
    <w:lsdException w:name="header" w:unhideWhenUsed="1" w:qFormat="0"/>
    <w:lsdException w:name="footer" w:unhideWhenUsed="1" w:qFormat="0"/>
    <w:lsdException w:name="caption" w:semiHidden="1" w:unhideWhenUsed="1"/>
    <w:lsdException w:name="Default Paragraph Font" w:unhideWhenUsed="1" w:qFormat="0"/>
    <w:lsdException w:name="HTML Top of Form" w:semiHidden="1" w:unhideWhenUsed="1" w:qFormat="0"/>
    <w:lsdException w:name="HTML Bottom of Form" w:semiHidden="1" w:unhideWhenUsed="1" w:qFormat="0"/>
    <w:lsdException w:name="No List" w:semiHidden="1" w:unhideWhenUsed="1" w:qFormat="0"/>
    <w:lsdException w:name="Outline List 1" w:semiHidden="1" w:unhideWhenUsed="1" w:qFormat="0"/>
    <w:lsdException w:name="Outline List 2" w:semiHidden="1" w:unhideWhenUsed="1" w:qFormat="0"/>
    <w:lsdException w:name="Outline List 3" w:semiHidden="1" w:unhideWhenUsed="1" w:qFormat="0"/>
    <w:lsdException w:name="Balloon Text" w:unhideWhenUsed="1"/>
    <w:lsdException w:name="Placeholder Text" w:semiHidden="1" w:unhideWhenUsed="1" w:qFormat="0"/>
    <w:lsdException w:name="Revision" w:semiHidden="1" w:unhideWhenUsed="1" w:qFormat="0"/>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0"/>
    <w:lsdException w:name="TOC Heading" w:semiHidden="1" w:uiPriority="39" w:unhideWhenUsed="1"/>
  </w:latentStyles>
  <w:style w:type="paragraph" w:default="1" w:styleId="a">
    <w:name w:val="Normal"/>
    <w:qFormat/>
    <w:pPr>
      <w:widowControl w:val="0"/>
      <w:spacing w:before="40" w:after="40"/>
      <w:jc w:val="both"/>
    </w:pPr>
    <w:rPr>
      <w:rFonts w:cs="宋体"/>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unhideWhenUsed/>
    <w:locked/>
    <w:rPr>
      <w:rFonts w:ascii="宋体" w:cs="宋体"/>
      <w:sz w:val="18"/>
      <w:szCs w:val="18"/>
    </w:rPr>
  </w:style>
  <w:style w:type="character" w:customStyle="1" w:styleId="Char0">
    <w:name w:val="批注文字 Char"/>
    <w:basedOn w:val="a0"/>
    <w:link w:val="a4"/>
    <w:uiPriority w:val="99"/>
    <w:unhideWhenUsed/>
    <w:locked/>
    <w:rPr>
      <w:rFonts w:ascii="宋体" w:cs="宋体"/>
      <w:sz w:val="18"/>
      <w:szCs w:val="18"/>
    </w:rPr>
  </w:style>
  <w:style w:type="character" w:customStyle="1" w:styleId="Char1">
    <w:name w:val="页眉 Char"/>
    <w:basedOn w:val="a0"/>
    <w:link w:val="a5"/>
    <w:uiPriority w:val="99"/>
    <w:unhideWhenUsed/>
    <w:locked/>
    <w:rPr>
      <w:rFonts w:ascii="宋体" w:cs="宋体"/>
      <w:sz w:val="18"/>
      <w:szCs w:val="18"/>
    </w:rPr>
  </w:style>
  <w:style w:type="character" w:customStyle="1" w:styleId="Char2">
    <w:name w:val="标题 Char"/>
    <w:basedOn w:val="a0"/>
    <w:link w:val="a6"/>
    <w:uiPriority w:val="10"/>
    <w:unhideWhenUsed/>
    <w:locked/>
    <w:rPr>
      <w:rFonts w:ascii="Calibri Light" w:cs="Calibri Light"/>
      <w:b/>
      <w:bCs/>
      <w:sz w:val="32"/>
      <w:szCs w:val="32"/>
    </w:rPr>
  </w:style>
  <w:style w:type="character" w:customStyle="1" w:styleId="Char3">
    <w:name w:val="批注框文本 Char"/>
    <w:basedOn w:val="a0"/>
    <w:link w:val="a7"/>
    <w:uiPriority w:val="99"/>
    <w:unhideWhenUsed/>
    <w:locked/>
    <w:rPr>
      <w:rFonts w:ascii="宋体" w:cs="宋体"/>
      <w:sz w:val="18"/>
      <w:szCs w:val="18"/>
    </w:rPr>
  </w:style>
  <w:style w:type="paragraph" w:customStyle="1" w:styleId="Chapter">
    <w:name w:val="Chapter"/>
    <w:next w:val="a"/>
    <w:uiPriority w:val="99"/>
    <w:unhideWhenUsed/>
    <w:pPr>
      <w:keepNext/>
      <w:keepLines/>
      <w:widowControl w:val="0"/>
      <w:spacing w:before="300" w:after="300" w:line="241" w:lineRule="auto"/>
      <w:jc w:val="both"/>
    </w:pPr>
    <w:rPr>
      <w:rFonts w:cs="宋体"/>
      <w:b/>
      <w:bCs/>
      <w:kern w:val="28"/>
      <w:sz w:val="24"/>
      <w:szCs w:val="24"/>
    </w:rPr>
  </w:style>
  <w:style w:type="paragraph" w:styleId="a4">
    <w:name w:val="annotation text"/>
    <w:basedOn w:val="a"/>
    <w:link w:val="Char0"/>
    <w:uiPriority w:val="99"/>
    <w:unhideWhenUsed/>
    <w:qFormat/>
    <w:pPr>
      <w:jc w:val="left"/>
    </w:pPr>
  </w:style>
  <w:style w:type="character" w:customStyle="1" w:styleId="Char10">
    <w:name w:val="批注文字 Char1"/>
    <w:basedOn w:val="a0"/>
    <w:uiPriority w:val="99"/>
    <w:semiHidden/>
    <w:rPr>
      <w:rFonts w:cs="宋体"/>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spacing w:before="0" w:after="0"/>
      <w:jc w:val="right"/>
    </w:pPr>
  </w:style>
  <w:style w:type="character" w:customStyle="1" w:styleId="Char11">
    <w:name w:val="页眉 Char1"/>
    <w:basedOn w:val="a0"/>
    <w:uiPriority w:val="99"/>
    <w:semiHidden/>
    <w:rPr>
      <w:rFonts w:cs="宋体"/>
      <w:sz w:val="18"/>
      <w:szCs w:val="18"/>
    </w:rPr>
  </w:style>
  <w:style w:type="paragraph" w:styleId="a3">
    <w:name w:val="footer"/>
    <w:basedOn w:val="a"/>
    <w:link w:val="Char"/>
    <w:uiPriority w:val="99"/>
    <w:unhideWhenUsed/>
    <w:pPr>
      <w:tabs>
        <w:tab w:val="center" w:pos="4153"/>
        <w:tab w:val="right" w:pos="8306"/>
      </w:tabs>
      <w:snapToGrid w:val="0"/>
      <w:spacing w:before="0" w:after="0"/>
      <w:jc w:val="right"/>
    </w:pPr>
  </w:style>
  <w:style w:type="character" w:customStyle="1" w:styleId="Char12">
    <w:name w:val="页脚 Char1"/>
    <w:basedOn w:val="a0"/>
    <w:uiPriority w:val="99"/>
    <w:semiHidden/>
    <w:rPr>
      <w:rFonts w:cs="宋体"/>
      <w:sz w:val="18"/>
      <w:szCs w:val="18"/>
    </w:rPr>
  </w:style>
  <w:style w:type="paragraph" w:styleId="a7">
    <w:name w:val="Balloon Text"/>
    <w:basedOn w:val="a"/>
    <w:link w:val="Char3"/>
    <w:uiPriority w:val="99"/>
    <w:unhideWhenUsed/>
    <w:qFormat/>
    <w:pPr>
      <w:spacing w:before="0" w:after="0"/>
    </w:pPr>
  </w:style>
  <w:style w:type="character" w:customStyle="1" w:styleId="Char13">
    <w:name w:val="批注框文本 Char1"/>
    <w:basedOn w:val="a0"/>
    <w:uiPriority w:val="99"/>
    <w:semiHidden/>
    <w:rPr>
      <w:rFonts w:cs="宋体"/>
      <w:sz w:val="18"/>
      <w:szCs w:val="18"/>
    </w:rPr>
  </w:style>
  <w:style w:type="paragraph" w:styleId="a6">
    <w:name w:val="Title"/>
    <w:basedOn w:val="a"/>
    <w:next w:val="a"/>
    <w:link w:val="Char2"/>
    <w:uiPriority w:val="99"/>
    <w:qFormat/>
    <w:pPr>
      <w:keepNext/>
      <w:keepLines/>
      <w:spacing w:before="340" w:after="330" w:line="578" w:lineRule="auto"/>
      <w:jc w:val="center"/>
    </w:pPr>
    <w:rPr>
      <w:b/>
      <w:bCs/>
      <w:kern w:val="32"/>
      <w:sz w:val="32"/>
      <w:szCs w:val="32"/>
    </w:rPr>
  </w:style>
  <w:style w:type="character" w:customStyle="1" w:styleId="Char14">
    <w:name w:val="标题 Char1"/>
    <w:basedOn w:val="a0"/>
    <w:uiPriority w:val="10"/>
    <w:rPr>
      <w:rFonts w:asciiTheme="majorHAnsi" w:hAnsiTheme="majorHAnsi" w:cstheme="majorBidi"/>
      <w:b/>
      <w:bCs/>
      <w:sz w:val="32"/>
      <w:szCs w:val="32"/>
    </w:rPr>
  </w:style>
  <w:style w:type="paragraph" w:customStyle="1" w:styleId="Section">
    <w:name w:val="Section"/>
    <w:next w:val="a"/>
    <w:uiPriority w:val="99"/>
    <w:unhideWhenUsed/>
    <w:pPr>
      <w:keepNext/>
      <w:keepLines/>
      <w:widowControl w:val="0"/>
      <w:spacing w:before="300" w:after="300" w:line="241" w:lineRule="auto"/>
      <w:jc w:val="both"/>
    </w:pPr>
    <w:rPr>
      <w:rFonts w:cs="宋体"/>
      <w:b/>
      <w:bCs/>
      <w:kern w:val="28"/>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DFF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6713</Characters>
  <Application>Microsoft Office Word</Application>
  <DocSecurity>0</DocSecurity>
  <Lines>55</Lines>
  <Paragraphs>15</Paragraphs>
  <ScaleCrop>false</ScaleCrop>
  <Company>Microsoft</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严世亮</cp:lastModifiedBy>
  <cp:revision>2</cp:revision>
  <dcterms:created xsi:type="dcterms:W3CDTF">2018-04-23T01:22:00Z</dcterms:created>
  <dcterms:modified xsi:type="dcterms:W3CDTF">2018-04-23T01:22:00Z</dcterms:modified>
</cp:coreProperties>
</file>