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00" w:beforeLines="-2147483648" w:afterLines="-2147483648"/>
        <w:rPr>
          <w:rFonts w:hint="default" w:ascii="宋体" w:hAnsi="宋体" w:eastAsia="宋体"/>
          <w:sz w:val="21"/>
          <w:szCs w:val="22"/>
          <w:lang w:val="en-US" w:eastAsia="zh-CN" w:bidi="ar-SA"/>
        </w:rPr>
      </w:pPr>
      <w:r>
        <w:rPr>
          <w:rFonts w:hint="eastAsia" w:ascii="宋体" w:hAnsi="宋体"/>
          <w:sz w:val="21"/>
          <w:szCs w:val="22"/>
          <w:lang w:bidi="ar-SA"/>
        </w:rPr>
        <w:t>证券代码：000685                 证券简称：中山公用                    公告编号：</w:t>
      </w:r>
      <w:r>
        <w:rPr>
          <w:rFonts w:hint="eastAsia" w:ascii="宋体" w:hAnsi="宋体"/>
          <w:sz w:val="21"/>
          <w:szCs w:val="22"/>
          <w:lang w:val="en-US" w:eastAsia="zh-CN" w:bidi="ar-SA"/>
        </w:rPr>
        <w:t>2020-056</w:t>
      </w:r>
      <w:bookmarkStart w:id="0" w:name="_GoBack"/>
      <w:bookmarkEnd w:id="0"/>
    </w:p>
    <w:p>
      <w:pPr>
        <w:spacing w:before="700" w:beforeLines="0" w:after="700" w:afterLines="0"/>
        <w:jc w:val="center"/>
        <w:rPr>
          <w:rFonts w:hint="eastAsia"/>
          <w:b/>
          <w:sz w:val="36"/>
        </w:rPr>
      </w:pPr>
      <w:r>
        <w:rPr>
          <w:rFonts w:hint="eastAsia"/>
          <w:b/>
          <w:sz w:val="36"/>
        </w:rPr>
        <w:t>中山公用事业集团股份有限公司2020年半年度报告摘要</w:t>
      </w:r>
    </w:p>
    <w:p>
      <w:pPr>
        <w:pStyle w:val="7"/>
        <w:spacing w:before="0" w:beforeLines="-2147483648" w:after="0" w:afterLines="-2147483648" w:line="360" w:lineRule="auto"/>
        <w:outlineLvl w:val="1"/>
        <w:rPr>
          <w:rFonts w:hint="eastAsia"/>
          <w:szCs w:val="22"/>
          <w:lang w:bidi="ar-SA"/>
        </w:rPr>
      </w:pPr>
      <w:r>
        <w:rPr>
          <w:rFonts w:hint="eastAsia"/>
          <w:szCs w:val="22"/>
          <w:lang w:bidi="ar-SA"/>
        </w:rPr>
        <w:t>一、重要提示</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本半年度报告摘要来自半年度报告全文，为全面了解本公司的经营成果、财务状况及未来发展规划，投资者应当到证监会指定媒体仔细阅读半年度报告全文。</w:t>
      </w:r>
    </w:p>
    <w:p>
      <w:pPr>
        <w:spacing w:line="360" w:lineRule="auto"/>
        <w:jc w:val="left"/>
        <w:rPr>
          <w:rFonts w:hint="default" w:ascii="宋体"/>
          <w:sz w:val="24"/>
        </w:rPr>
      </w:pPr>
      <w:r>
        <w:rPr>
          <w:rFonts w:ascii="宋体" w:hAnsi="宋体"/>
          <w:sz w:val="24"/>
        </w:rPr>
        <w:t>所有董事均已出席了审议本报告的董事会会议。</w:t>
      </w:r>
    </w:p>
    <w:p>
      <w:pPr>
        <w:spacing w:line="360" w:lineRule="auto"/>
        <w:jc w:val="left"/>
        <w:rPr>
          <w:rFonts w:hint="default" w:ascii="宋体" w:hAnsi="宋体"/>
          <w:sz w:val="24"/>
        </w:rPr>
      </w:pPr>
      <w:r>
        <w:rPr>
          <w:rFonts w:ascii="宋体" w:hAnsi="宋体"/>
          <w:sz w:val="24"/>
        </w:rPr>
        <w:t>非标准审计意见提示</w:t>
      </w:r>
    </w:p>
    <w:p>
      <w:pPr>
        <w:spacing w:line="360" w:lineRule="auto"/>
        <w:jc w:val="left"/>
        <w:rPr>
          <w:rFonts w:hint="default" w:ascii="宋体" w:hAnsi="宋体"/>
          <w:sz w:val="24"/>
        </w:rPr>
      </w:pPr>
      <w:r>
        <w:rPr>
          <w:rFonts w:ascii="宋体" w:hAnsi="宋体"/>
          <w:sz w:val="24"/>
        </w:rPr>
        <w:t xml:space="preserve">□ 适用 √ 不适用 </w:t>
      </w:r>
    </w:p>
    <w:p>
      <w:pPr>
        <w:spacing w:line="360" w:lineRule="auto"/>
        <w:jc w:val="left"/>
        <w:rPr>
          <w:rFonts w:hint="default" w:ascii="宋体" w:hAnsi="宋体"/>
          <w:sz w:val="24"/>
        </w:rPr>
      </w:pPr>
      <w:r>
        <w:rPr>
          <w:rFonts w:ascii="宋体" w:hAnsi="宋体"/>
          <w:sz w:val="24"/>
        </w:rPr>
        <w:t>董事会审议的报告期普通股利润分配预案或公积金转增股本预案</w:t>
      </w:r>
    </w:p>
    <w:p>
      <w:pPr>
        <w:spacing w:line="360" w:lineRule="auto"/>
        <w:jc w:val="left"/>
        <w:rPr>
          <w:rFonts w:hint="default" w:ascii="宋体" w:hAnsi="宋体"/>
          <w:sz w:val="24"/>
        </w:rPr>
      </w:pPr>
      <w:r>
        <w:rPr>
          <w:rFonts w:ascii="宋体" w:hAnsi="宋体"/>
          <w:sz w:val="24"/>
        </w:rPr>
        <w:t xml:space="preserve">□ 适用 √ 不适用 </w:t>
      </w:r>
    </w:p>
    <w:p>
      <w:pPr>
        <w:spacing w:line="360" w:lineRule="auto"/>
        <w:jc w:val="left"/>
        <w:rPr>
          <w:rFonts w:hint="default" w:ascii="宋体" w:hAnsi="宋体"/>
          <w:sz w:val="24"/>
        </w:rPr>
      </w:pPr>
      <w:r>
        <w:rPr>
          <w:rFonts w:ascii="宋体" w:hAnsi="宋体"/>
          <w:sz w:val="24"/>
        </w:rPr>
        <w:t>公司计划不派发现金红利，不送红股，不以公积金转增股本。</w:t>
      </w:r>
    </w:p>
    <w:p>
      <w:pPr>
        <w:spacing w:line="360" w:lineRule="auto"/>
        <w:jc w:val="left"/>
        <w:rPr>
          <w:rFonts w:hint="default" w:ascii="宋体" w:hAnsi="宋体"/>
          <w:sz w:val="24"/>
        </w:rPr>
      </w:pPr>
      <w:r>
        <w:rPr>
          <w:rFonts w:ascii="宋体" w:hAnsi="宋体"/>
          <w:sz w:val="24"/>
        </w:rPr>
        <w:t>董事会决议通过的本报告期优先股利润分配预案</w:t>
      </w:r>
    </w:p>
    <w:p>
      <w:pPr>
        <w:spacing w:line="360" w:lineRule="auto"/>
        <w:jc w:val="left"/>
        <w:rPr>
          <w:rFonts w:hint="default" w:ascii="宋体" w:hAnsi="宋体"/>
          <w:sz w:val="24"/>
        </w:rPr>
      </w:pPr>
      <w:r>
        <w:rPr>
          <w:rFonts w:ascii="宋体" w:hAnsi="宋体"/>
          <w:sz w:val="24"/>
        </w:rPr>
        <w:t xml:space="preserve">□ 适用 √ 不适用 </w:t>
      </w:r>
    </w:p>
    <w:p>
      <w:pPr>
        <w:pStyle w:val="7"/>
        <w:spacing w:before="0" w:beforeLines="-2147483648" w:after="0" w:afterLines="-2147483648" w:line="360" w:lineRule="auto"/>
        <w:outlineLvl w:val="1"/>
        <w:rPr>
          <w:rFonts w:hint="eastAsia"/>
          <w:szCs w:val="22"/>
          <w:lang w:bidi="ar-SA"/>
        </w:rPr>
      </w:pPr>
      <w:r>
        <w:rPr>
          <w:rFonts w:hint="eastAsia"/>
          <w:szCs w:val="22"/>
          <w:lang w:bidi="ar-SA"/>
        </w:rPr>
        <w:t>二、公司基本情况</w:t>
      </w:r>
    </w:p>
    <w:p>
      <w:pPr>
        <w:pStyle w:val="7"/>
        <w:spacing w:before="0" w:beforeLines="-2147483648" w:after="0" w:afterLines="-2147483648" w:line="360" w:lineRule="auto"/>
        <w:outlineLvl w:val="1"/>
        <w:rPr>
          <w:rFonts w:hint="eastAsia"/>
          <w:szCs w:val="22"/>
          <w:lang w:bidi="ar-SA"/>
        </w:rPr>
      </w:pPr>
      <w:r>
        <w:rPr>
          <w:rFonts w:hint="eastAsia"/>
          <w:szCs w:val="22"/>
          <w:lang w:bidi="ar-SA"/>
        </w:rPr>
        <w:t>1、公司简介</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96"/>
        <w:gridCol w:w="2195"/>
        <w:gridCol w:w="2177"/>
        <w:gridCol w:w="2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股票简称</w:t>
            </w:r>
          </w:p>
        </w:tc>
        <w:tc>
          <w:tcPr>
            <w:tcW w:w="21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w:t>
            </w:r>
          </w:p>
        </w:tc>
        <w:tc>
          <w:tcPr>
            <w:tcW w:w="21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股票代码</w:t>
            </w:r>
          </w:p>
        </w:tc>
        <w:tc>
          <w:tcPr>
            <w:tcW w:w="22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000685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股票上市交易所</w:t>
            </w:r>
          </w:p>
        </w:tc>
        <w:tc>
          <w:tcPr>
            <w:tcW w:w="667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深圳证券交易所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联系人和联系方式</w:t>
            </w:r>
          </w:p>
        </w:tc>
        <w:tc>
          <w:tcPr>
            <w:tcW w:w="667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董事会秘书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姓名</w:t>
            </w:r>
          </w:p>
        </w:tc>
        <w:tc>
          <w:tcPr>
            <w:tcW w:w="667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李春辉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办公地址</w:t>
            </w:r>
          </w:p>
        </w:tc>
        <w:tc>
          <w:tcPr>
            <w:tcW w:w="667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广东省中山市兴中道18号财兴大厦北座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电话</w:t>
            </w:r>
          </w:p>
        </w:tc>
        <w:tc>
          <w:tcPr>
            <w:tcW w:w="667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0760-88389268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电子信箱</w:t>
            </w:r>
          </w:p>
        </w:tc>
        <w:tc>
          <w:tcPr>
            <w:tcW w:w="667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lich@zpug.net</w:t>
            </w:r>
          </w:p>
        </w:tc>
      </w:tr>
    </w:tbl>
    <w:p>
      <w:pPr>
        <w:pStyle w:val="7"/>
        <w:spacing w:before="0" w:beforeLines="-2147483648" w:after="0" w:afterLines="-2147483648" w:line="360" w:lineRule="auto"/>
        <w:outlineLvl w:val="1"/>
        <w:rPr>
          <w:rFonts w:hint="eastAsia"/>
          <w:szCs w:val="22"/>
          <w:lang w:bidi="ar-SA"/>
        </w:rPr>
      </w:pPr>
      <w:r>
        <w:rPr>
          <w:rFonts w:hint="eastAsia"/>
          <w:szCs w:val="22"/>
          <w:lang w:bidi="ar-SA"/>
        </w:rPr>
        <w:t>2、主要财务数据和财务指标</w:t>
      </w:r>
    </w:p>
    <w:p>
      <w:pPr>
        <w:spacing w:line="360" w:lineRule="auto"/>
        <w:jc w:val="left"/>
        <w:rPr>
          <w:rFonts w:hint="eastAsia" w:ascii="宋体" w:hAnsi="宋体"/>
          <w:sz w:val="24"/>
          <w:szCs w:val="22"/>
        </w:rPr>
      </w:pPr>
      <w:r>
        <w:rPr>
          <w:rFonts w:hint="eastAsia" w:ascii="宋体" w:hAnsi="宋体"/>
          <w:sz w:val="24"/>
          <w:szCs w:val="22"/>
        </w:rPr>
        <w:t>公司是否需追溯调整或重述以前年度会计数据</w:t>
      </w:r>
    </w:p>
    <w:tbl>
      <w:tblPr>
        <w:tblStyle w:val="5"/>
        <w:tblpPr w:leftFromText="180" w:rightFromText="180" w:vertAnchor="text" w:horzAnchor="page" w:tblpX="1215" w:tblpY="48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00"/>
        <w:gridCol w:w="2123"/>
        <w:gridCol w:w="2123"/>
        <w:gridCol w:w="2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both"/>
              <w:rPr>
                <w:rFonts w:hint="eastAsia" w:ascii="宋体" w:hAnsi="宋体" w:eastAsia="宋体" w:cs="宋体"/>
                <w:sz w:val="21"/>
                <w:szCs w:val="21"/>
              </w:rPr>
            </w:pP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上年同期</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营业收入（元）</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892,097,511.46</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879,254,459.47</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归属于上市公司股东的净利润（元）</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703,172,318.41</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498,694,799.10</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归属于上市公司股东的扣除非经常性损益的净利润（元）</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699,196,310.72</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491,835,247.62</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经营活动产生的现金流量净额（元）</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127,313,101.06</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155,830,614.03</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基本每股收益（元/股）</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0.48</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0.34</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val="en-US" w:eastAsia="zh-CN"/>
              </w:rPr>
              <w:t>1</w:t>
            </w:r>
            <w:r>
              <w:rPr>
                <w:rFonts w:hint="eastAsia" w:ascii="宋体" w:hAnsi="宋体" w:eastAsia="宋体" w:cs="宋体"/>
                <w:sz w:val="21"/>
                <w:szCs w:val="21"/>
              </w:rPr>
              <w:t>.</w:t>
            </w:r>
            <w:r>
              <w:rPr>
                <w:rFonts w:hint="eastAsia" w:ascii="宋体" w:hAnsi="宋体" w:cs="宋体"/>
                <w:sz w:val="21"/>
                <w:szCs w:val="21"/>
                <w:lang w:val="en-US" w:eastAsia="zh-CN"/>
              </w:rPr>
              <w:t>0</w:t>
            </w: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稀释每股收益（元/股）</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0.48</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0.34</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val="en-US" w:eastAsia="zh-CN"/>
              </w:rPr>
              <w:t>1</w:t>
            </w:r>
            <w:r>
              <w:rPr>
                <w:rFonts w:hint="eastAsia" w:ascii="宋体" w:hAnsi="宋体" w:eastAsia="宋体" w:cs="宋体"/>
                <w:sz w:val="21"/>
                <w:szCs w:val="21"/>
              </w:rPr>
              <w:t>.</w:t>
            </w:r>
            <w:r>
              <w:rPr>
                <w:rFonts w:hint="eastAsia" w:ascii="宋体" w:hAnsi="宋体" w:cs="宋体"/>
                <w:sz w:val="21"/>
                <w:szCs w:val="21"/>
                <w:lang w:val="en-US" w:eastAsia="zh-CN"/>
              </w:rPr>
              <w:t>0</w:t>
            </w: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加权平均净资产收益率</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5.23%</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3.99%</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上年度末</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本报告期末比上年度末增减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总资产（元）</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20,194,930,824.34</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19,133,029,367.26</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归属于上市公司股东的净资产（元）</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13,531,242,203.05</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13,132,338,133.53</w:t>
            </w:r>
          </w:p>
        </w:tc>
        <w:tc>
          <w:tcPr>
            <w:tcW w:w="21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3.04%</w:t>
            </w:r>
          </w:p>
        </w:tc>
      </w:tr>
    </w:tbl>
    <w:p>
      <w:pPr>
        <w:spacing w:beforeLines="-2147483648"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是 √ 否 </w:t>
      </w:r>
    </w:p>
    <w:p>
      <w:pPr>
        <w:pStyle w:val="7"/>
        <w:spacing w:before="0" w:beforeLines="-2147483648" w:after="0" w:afterLines="-2147483648" w:line="360" w:lineRule="auto"/>
        <w:outlineLvl w:val="1"/>
        <w:rPr>
          <w:rFonts w:hint="eastAsia"/>
          <w:szCs w:val="22"/>
          <w:lang w:bidi="ar-SA"/>
        </w:rPr>
      </w:pPr>
      <w:r>
        <w:rPr>
          <w:rFonts w:hint="eastAsia"/>
          <w:szCs w:val="22"/>
          <w:lang w:bidi="ar-SA"/>
        </w:rPr>
        <w:t>3、公司股东数量及持股情况</w:t>
      </w:r>
    </w:p>
    <w:p>
      <w:pPr>
        <w:spacing w:beforeLines="-2147483648" w:afterLines="-2147483648"/>
        <w:jc w:val="right"/>
        <w:rPr>
          <w:rFonts w:hint="eastAsia"/>
          <w:sz w:val="24"/>
          <w:szCs w:val="22"/>
          <w:lang w:bidi="ar-SA"/>
        </w:rPr>
      </w:pPr>
      <w:r>
        <w:rPr>
          <w:rFonts w:hint="eastAsia"/>
          <w:sz w:val="24"/>
          <w:szCs w:val="22"/>
          <w:lang w:bidi="ar-SA"/>
        </w:rPr>
        <w:t>单位：股</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7"/>
        <w:gridCol w:w="1239"/>
        <w:gridCol w:w="168"/>
        <w:gridCol w:w="1004"/>
        <w:gridCol w:w="1297"/>
        <w:gridCol w:w="412"/>
        <w:gridCol w:w="1890"/>
        <w:gridCol w:w="49"/>
        <w:gridCol w:w="112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64"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报告期末普通股股东总数</w:t>
            </w:r>
          </w:p>
        </w:tc>
        <w:tc>
          <w:tcPr>
            <w:tcW w:w="230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39,838</w:t>
            </w:r>
          </w:p>
        </w:tc>
        <w:tc>
          <w:tcPr>
            <w:tcW w:w="2302"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报告期末表决权恢复的优先股股东总数</w:t>
            </w:r>
          </w:p>
        </w:tc>
        <w:tc>
          <w:tcPr>
            <w:tcW w:w="230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68" w:type="dxa"/>
            <w:gridSpan w:val="10"/>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前10名股东持股情况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股东名称</w:t>
            </w:r>
          </w:p>
        </w:tc>
        <w:tc>
          <w:tcPr>
            <w:tcW w:w="123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股东性质</w:t>
            </w:r>
          </w:p>
        </w:tc>
        <w:tc>
          <w:tcPr>
            <w:tcW w:w="1172"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持股比例</w:t>
            </w:r>
          </w:p>
        </w:tc>
        <w:tc>
          <w:tcPr>
            <w:tcW w:w="170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持股数量</w:t>
            </w:r>
          </w:p>
        </w:tc>
        <w:tc>
          <w:tcPr>
            <w:tcW w:w="1939"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持有有限售条件的股份数量</w:t>
            </w:r>
          </w:p>
        </w:tc>
        <w:tc>
          <w:tcPr>
            <w:tcW w:w="2252"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质押或冻结情况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23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172"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709"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939"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股份状态</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国有法人</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47.98%</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707,747,250</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216,675,767</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上海复星高科技（集团）有限公司</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12.35%</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182,211,872</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中央汇金资产管理有限责任公司</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国有法人</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1.87%</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27,511,100</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华夏人寿保险股份有限公司－万能保险产品</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1.58%</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23,252,981</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中山市古镇自来水厂</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0.85%</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12,603,546</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中山市三乡水务有限公司</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0.80%</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11,797,866</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袁河</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境内自然人</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0.72%</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10,659,113</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华夏人寿保险股份有限公司－分红－个险分红</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0.70%</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10,379,335</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华夏人寿保险股份有限公司－自有资金</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0.62%</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9,141,539</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5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中国证券金融股份有限公司</w:t>
            </w:r>
          </w:p>
        </w:tc>
        <w:tc>
          <w:tcPr>
            <w:tcW w:w="123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117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0.59%</w:t>
            </w:r>
          </w:p>
        </w:tc>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8,661,579</w:t>
            </w:r>
          </w:p>
        </w:tc>
        <w:tc>
          <w:tcPr>
            <w:tcW w:w="193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11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上述股东关联关系或一致行动的说明</w:t>
            </w:r>
          </w:p>
        </w:tc>
        <w:tc>
          <w:tcPr>
            <w:tcW w:w="7072"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前十名股东中持有有限售条件流通股股份的国有股东、法人股各股东之间无关联关系，亦无属于《上市公司股东持股变动信息披露管理办法》中规定的一致行动人情况。无限售条件流通股股东中，华夏人寿保险股份有限公司-万能保险产品、华夏人寿保险股份有限公司-分红-个险分红及华夏人寿保险股份有限公司-自有资金同属华夏人寿保险股份有限公司管理。其他各无限售条件流通股东之间，公司无法判断有无关联关系，也无法判断是否属于《上市公司股东持股变动信息披露管理办法》中规定的一致行动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参与融资融券业务股东情况说明</w:t>
            </w:r>
          </w:p>
        </w:tc>
        <w:tc>
          <w:tcPr>
            <w:tcW w:w="7072"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w:t>
            </w:r>
          </w:p>
        </w:tc>
      </w:tr>
    </w:tbl>
    <w:p>
      <w:pPr>
        <w:pStyle w:val="7"/>
        <w:spacing w:before="0" w:beforeLines="-2147483648" w:after="0" w:afterLines="-2147483648" w:line="360" w:lineRule="auto"/>
        <w:outlineLvl w:val="1"/>
        <w:rPr>
          <w:rFonts w:hint="eastAsia" w:eastAsia="宋体"/>
          <w:szCs w:val="22"/>
          <w:lang w:bidi="ar-SA"/>
        </w:rPr>
      </w:pPr>
      <w:r>
        <w:rPr>
          <w:rFonts w:hint="eastAsia" w:eastAsia="宋体"/>
          <w:szCs w:val="22"/>
          <w:lang w:bidi="ar-SA"/>
        </w:rPr>
        <w:t>4、控股股东或实际控制人变更情况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控股股东报告期内变更</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公司报告期控股股东未发生变更。</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实际控制人报告期内变更</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公司报告期实际控制人未发生变更。</w:t>
      </w:r>
    </w:p>
    <w:p>
      <w:pPr>
        <w:pStyle w:val="7"/>
        <w:spacing w:before="0" w:beforeLines="-2147483648" w:after="0" w:afterLines="-2147483648" w:line="360" w:lineRule="auto"/>
        <w:outlineLvl w:val="1"/>
        <w:rPr>
          <w:rFonts w:hint="eastAsia"/>
          <w:szCs w:val="22"/>
          <w:lang w:bidi="ar-SA"/>
        </w:rPr>
      </w:pPr>
      <w:r>
        <w:rPr>
          <w:rFonts w:hint="eastAsia"/>
          <w:szCs w:val="22"/>
          <w:lang w:bidi="ar-SA"/>
        </w:rPr>
        <w:t>5、公司优先股股东总数及前10名优先股股东持股情况表</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公司报告期无优先股股东持股情况。</w:t>
      </w:r>
    </w:p>
    <w:p>
      <w:pPr>
        <w:pStyle w:val="7"/>
        <w:spacing w:before="0" w:beforeLines="-2147483648" w:after="0" w:afterLines="-2147483648" w:line="360" w:lineRule="auto"/>
        <w:outlineLvl w:val="1"/>
        <w:rPr>
          <w:rFonts w:hint="eastAsia"/>
          <w:szCs w:val="22"/>
          <w:lang w:bidi="ar-SA"/>
        </w:rPr>
      </w:pPr>
      <w:r>
        <w:rPr>
          <w:rFonts w:hint="eastAsia"/>
          <w:szCs w:val="22"/>
          <w:lang w:bidi="ar-SA"/>
        </w:rPr>
        <w:t>6、公司债券情况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公司是否存在公开发行并在证券交易所上市，且在半年度报告批准报出日未到期或到期未能全额兑付的公司债券</w:t>
      </w:r>
      <w:r>
        <w:rPr>
          <w:rFonts w:hint="eastAsia" w:ascii="宋体" w:hAnsi="宋体"/>
          <w:sz w:val="24"/>
          <w:szCs w:val="22"/>
          <w:lang w:eastAsia="zh-CN" w:bidi="ar-SA"/>
        </w:rPr>
        <w:t>：</w:t>
      </w:r>
      <w:r>
        <w:rPr>
          <w:rFonts w:hint="eastAsia" w:ascii="宋体" w:hAnsi="宋体"/>
          <w:sz w:val="24"/>
          <w:szCs w:val="22"/>
          <w:lang w:bidi="ar-SA"/>
        </w:rPr>
        <w:t>是</w:t>
      </w:r>
    </w:p>
    <w:p>
      <w:pPr>
        <w:pStyle w:val="7"/>
        <w:spacing w:before="0" w:beforeLines="-2147483648" w:after="0" w:afterLines="-2147483648" w:line="360" w:lineRule="auto"/>
        <w:outlineLvl w:val="1"/>
        <w:rPr>
          <w:rFonts w:hint="eastAsia"/>
          <w:szCs w:val="22"/>
          <w:lang w:bidi="ar-SA"/>
        </w:rPr>
      </w:pPr>
      <w:r>
        <w:rPr>
          <w:rFonts w:hint="eastAsia"/>
          <w:szCs w:val="22"/>
          <w:lang w:bidi="ar-SA"/>
        </w:rPr>
        <w:t>（1）公司债券基本信息</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7"/>
        <w:gridCol w:w="1110"/>
        <w:gridCol w:w="1077"/>
        <w:gridCol w:w="1953"/>
        <w:gridCol w:w="1950"/>
        <w:gridCol w:w="1050"/>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4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债券名称</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债券简称</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债券代码</w:t>
            </w:r>
          </w:p>
        </w:tc>
        <w:tc>
          <w:tcPr>
            <w:tcW w:w="19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发行日</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到期日</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债券余额（万元）</w:t>
            </w:r>
          </w:p>
        </w:tc>
        <w:tc>
          <w:tcPr>
            <w:tcW w:w="98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4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中山公用事业集团股份有限公司2018年（第一期）公司债券</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18中山01</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112712</w:t>
            </w:r>
          </w:p>
        </w:tc>
        <w:tc>
          <w:tcPr>
            <w:tcW w:w="1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2018年05月22日</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2023年05月22日</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100,000</w:t>
            </w:r>
          </w:p>
        </w:tc>
        <w:tc>
          <w:tcPr>
            <w:tcW w:w="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中山公用事业集团股份有限公司2019年（第一期）公司债券</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19中山01</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112861</w:t>
            </w:r>
          </w:p>
        </w:tc>
        <w:tc>
          <w:tcPr>
            <w:tcW w:w="1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2019年03月05日</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2024年03月05日</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100,000</w:t>
            </w:r>
          </w:p>
        </w:tc>
        <w:tc>
          <w:tcPr>
            <w:tcW w:w="98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w:t>
            </w:r>
          </w:p>
        </w:tc>
      </w:tr>
    </w:tbl>
    <w:p>
      <w:pPr>
        <w:pStyle w:val="7"/>
        <w:spacing w:before="0" w:beforeLines="-2147483648" w:after="0" w:afterLines="-2147483648" w:line="360" w:lineRule="auto"/>
        <w:outlineLvl w:val="1"/>
        <w:rPr>
          <w:rFonts w:hint="eastAsia"/>
          <w:szCs w:val="22"/>
          <w:lang w:bidi="ar-SA"/>
        </w:rPr>
      </w:pPr>
      <w:r>
        <w:rPr>
          <w:rFonts w:hint="eastAsia"/>
          <w:szCs w:val="22"/>
          <w:lang w:bidi="ar-SA"/>
        </w:rPr>
        <w:t>（2）截至报告期末的财务指标</w:t>
      </w:r>
    </w:p>
    <w:p>
      <w:pPr>
        <w:spacing w:beforeLines="0" w:afterLines="0"/>
        <w:jc w:val="right"/>
        <w:rPr>
          <w:rFonts w:hint="eastAsia"/>
          <w:sz w:val="18"/>
        </w:rPr>
      </w:pPr>
      <w:r>
        <w:rPr>
          <w:rFonts w:hint="eastAsia"/>
          <w:sz w:val="24"/>
          <w:szCs w:val="22"/>
          <w:lang w:bidi="ar-SA"/>
        </w:rPr>
        <w:t>单位：万元</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2"/>
        <w:gridCol w:w="2392"/>
        <w:gridCol w:w="2093"/>
        <w:gridCol w:w="2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w:t>
            </w:r>
          </w:p>
        </w:tc>
        <w:tc>
          <w:tcPr>
            <w:tcW w:w="20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上年末</w:t>
            </w:r>
          </w:p>
        </w:tc>
        <w:tc>
          <w:tcPr>
            <w:tcW w:w="26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本报告期末比上年末增减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资产负债率</w:t>
            </w:r>
          </w:p>
        </w:tc>
        <w:tc>
          <w:tcPr>
            <w:tcW w:w="2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31.36%</w:t>
            </w:r>
          </w:p>
        </w:tc>
        <w:tc>
          <w:tcPr>
            <w:tcW w:w="20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29.57%</w:t>
            </w:r>
          </w:p>
        </w:tc>
        <w:tc>
          <w:tcPr>
            <w:tcW w:w="2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w:t>
            </w:r>
          </w:p>
        </w:tc>
        <w:tc>
          <w:tcPr>
            <w:tcW w:w="20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上年同期</w:t>
            </w:r>
          </w:p>
        </w:tc>
        <w:tc>
          <w:tcPr>
            <w:tcW w:w="26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EBITDA利息保障倍数</w:t>
            </w:r>
          </w:p>
        </w:tc>
        <w:tc>
          <w:tcPr>
            <w:tcW w:w="2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11.44</w:t>
            </w:r>
          </w:p>
        </w:tc>
        <w:tc>
          <w:tcPr>
            <w:tcW w:w="20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9.08</w:t>
            </w:r>
          </w:p>
        </w:tc>
        <w:tc>
          <w:tcPr>
            <w:tcW w:w="2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cs="宋体"/>
                <w:sz w:val="21"/>
                <w:szCs w:val="21"/>
                <w:lang w:val="en-US" w:eastAsia="zh-CN"/>
              </w:rPr>
              <w:t>25.99</w:t>
            </w:r>
            <w:r>
              <w:rPr>
                <w:rFonts w:hint="eastAsia" w:ascii="宋体" w:hAnsi="宋体" w:eastAsia="宋体" w:cs="宋体"/>
                <w:sz w:val="21"/>
                <w:szCs w:val="21"/>
              </w:rPr>
              <w:t>%</w:t>
            </w:r>
          </w:p>
        </w:tc>
      </w:tr>
    </w:tbl>
    <w:p>
      <w:pPr>
        <w:pStyle w:val="7"/>
        <w:spacing w:before="0" w:beforeLines="-2147483648" w:after="0" w:afterLines="-2147483648" w:line="360" w:lineRule="auto"/>
        <w:outlineLvl w:val="1"/>
        <w:rPr>
          <w:rFonts w:hint="eastAsia"/>
          <w:szCs w:val="22"/>
          <w:lang w:bidi="ar-SA"/>
        </w:rPr>
      </w:pPr>
      <w:r>
        <w:rPr>
          <w:rFonts w:hint="eastAsia"/>
          <w:szCs w:val="22"/>
          <w:lang w:bidi="ar-SA"/>
        </w:rPr>
        <w:t>三、经营情况讨论与分析</w:t>
      </w:r>
    </w:p>
    <w:p>
      <w:pPr>
        <w:pStyle w:val="7"/>
        <w:spacing w:before="0" w:beforeLines="-2147483648" w:after="0" w:afterLines="-2147483648" w:line="360" w:lineRule="auto"/>
        <w:outlineLvl w:val="1"/>
        <w:rPr>
          <w:rFonts w:hint="eastAsia"/>
          <w:szCs w:val="22"/>
          <w:lang w:bidi="ar-SA"/>
        </w:rPr>
      </w:pPr>
      <w:r>
        <w:rPr>
          <w:rFonts w:hint="eastAsia"/>
          <w:szCs w:val="22"/>
          <w:lang w:bidi="ar-SA"/>
        </w:rPr>
        <w:t>1、报告期经营情况简介</w:t>
      </w:r>
    </w:p>
    <w:p>
      <w:pPr>
        <w:spacing w:before="0" w:beforeLines="-2147483648" w:after="0" w:afterLines="-2147483648" w:line="360" w:lineRule="auto"/>
        <w:jc w:val="left"/>
        <w:rPr>
          <w:rFonts w:hint="eastAsia" w:ascii="宋体" w:hAnsi="宋体" w:eastAsia="宋体"/>
          <w:sz w:val="24"/>
          <w:szCs w:val="22"/>
          <w:lang w:val="en-US" w:eastAsia="zh-CN" w:bidi="ar-SA"/>
        </w:rPr>
      </w:pPr>
      <w:r>
        <w:rPr>
          <w:rFonts w:hint="eastAsia" w:ascii="宋体" w:hAnsi="宋体"/>
          <w:sz w:val="24"/>
          <w:szCs w:val="22"/>
          <w:lang w:bidi="ar-SA"/>
        </w:rPr>
        <w:t>公司是否需要遵守特殊行业的披露要求</w:t>
      </w:r>
      <w:r>
        <w:rPr>
          <w:rFonts w:hint="eastAsia" w:ascii="宋体" w:hAnsi="宋体"/>
          <w:sz w:val="24"/>
          <w:szCs w:val="22"/>
          <w:lang w:eastAsia="zh-CN" w:bidi="ar-SA"/>
        </w:rPr>
        <w:t>：否</w:t>
      </w:r>
    </w:p>
    <w:p>
      <w:pPr>
        <w:autoSpaceDE w:val="0"/>
        <w:autoSpaceDN w:val="0"/>
        <w:adjustRightInd w:val="0"/>
        <w:spacing w:before="0" w:after="0" w:line="360" w:lineRule="auto"/>
        <w:ind w:firstLine="360"/>
        <w:rPr>
          <w:rFonts w:hint="default" w:ascii="宋体" w:hAnsi="宋体" w:cs="宋体"/>
          <w:sz w:val="24"/>
          <w:lang w:val="zh-CN"/>
        </w:rPr>
      </w:pPr>
      <w:r>
        <w:rPr>
          <w:rFonts w:ascii="宋体" w:hAnsi="宋体" w:cs="宋体"/>
          <w:sz w:val="24"/>
          <w:lang w:val="zh-CN"/>
        </w:rPr>
        <w:t xml:space="preserve">2020年上半年，公司围绕战略发展方向，对外坚定拓展业务，对内优化经营管理，主要经营指标保持着稳步增长。报告期内，公司重点开展了以下工作： </w:t>
      </w:r>
    </w:p>
    <w:p>
      <w:pPr>
        <w:autoSpaceDE w:val="0"/>
        <w:autoSpaceDN w:val="0"/>
        <w:adjustRightInd w:val="0"/>
        <w:spacing w:before="0" w:after="0" w:line="360" w:lineRule="auto"/>
        <w:ind w:firstLine="480"/>
        <w:rPr>
          <w:rFonts w:hint="default" w:ascii="宋体" w:hAnsi="宋体" w:cs="宋体"/>
          <w:b/>
          <w:sz w:val="24"/>
          <w:szCs w:val="22"/>
          <w:lang w:val="zh-CN"/>
        </w:rPr>
      </w:pPr>
      <w:r>
        <w:rPr>
          <w:rFonts w:ascii="宋体" w:hAnsi="宋体" w:cs="宋体"/>
          <w:b/>
          <w:sz w:val="24"/>
          <w:szCs w:val="22"/>
          <w:lang w:val="zh-CN"/>
        </w:rPr>
        <w:t>积极对外投资拓展</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公司积极推进对外投资工作，以城市供排水、村镇污水处理、固废处理及环卫服务为主要拓展方向，涉及新建PPP、存量收购及股权投资等类型。同时，公司加强对通辽桑德、兰溪桑德等异地项目的运营管理，有效控制生产成本，实现良好效益。其中：通辽主城区污水处理厂扩容改造工程已于5月完工通水，中水扩容生产项目8月进入商业运营。兰溪城区清洁排放项目等三大工程已陆续开工，预计2020年底完工通水。中通环境承接的9个环保水务项目进展顺利，部分项目已进入试运行阶段。</w:t>
      </w:r>
    </w:p>
    <w:p>
      <w:pPr>
        <w:autoSpaceDE w:val="0"/>
        <w:autoSpaceDN w:val="0"/>
        <w:adjustRightInd w:val="0"/>
        <w:spacing w:before="0" w:after="0" w:line="360" w:lineRule="auto"/>
        <w:ind w:firstLine="480"/>
        <w:rPr>
          <w:rFonts w:hint="default" w:ascii="宋体" w:hAnsi="宋体" w:cs="宋体"/>
          <w:b/>
          <w:sz w:val="24"/>
          <w:lang w:val="zh-CN"/>
        </w:rPr>
      </w:pPr>
      <w:r>
        <w:rPr>
          <w:rFonts w:ascii="宋体" w:hAnsi="宋体" w:cs="宋体"/>
          <w:b/>
          <w:sz w:val="24"/>
          <w:lang w:val="zh-CN"/>
        </w:rPr>
        <w:t>扎实深耕本土业务</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本地业务拓展方面，公用水务持续跟进污水处理单价调整工作，目前中介单位已进场开展成本监审，并出具相关报告初稿。同时，公用水务继续推进“供水一盘棋”及“污水一盘棋”，目前与两家镇区供水公司洽谈并购方案，正同步推动两家污水厂PPP项目合作。名城科技成功中标3个中山市环卫项目，中标金额合计2</w:t>
      </w:r>
      <w:r>
        <w:rPr>
          <w:rFonts w:ascii="宋体" w:hAnsi="宋体" w:cs="宋体"/>
          <w:sz w:val="24"/>
        </w:rPr>
        <w:t>,</w:t>
      </w:r>
      <w:r>
        <w:rPr>
          <w:rFonts w:ascii="宋体" w:hAnsi="宋体" w:cs="宋体"/>
          <w:sz w:val="24"/>
          <w:lang w:val="zh-CN"/>
        </w:rPr>
        <w:t>885万元。</w:t>
      </w:r>
    </w:p>
    <w:p>
      <w:pPr>
        <w:autoSpaceDE w:val="0"/>
        <w:autoSpaceDN w:val="0"/>
        <w:adjustRightInd w:val="0"/>
        <w:spacing w:before="0" w:after="0" w:line="360" w:lineRule="auto"/>
        <w:ind w:firstLine="482"/>
        <w:rPr>
          <w:rFonts w:hint="default" w:ascii="宋体" w:hAnsi="宋体" w:cs="宋体"/>
          <w:b/>
          <w:sz w:val="24"/>
          <w:lang w:val="zh-CN"/>
        </w:rPr>
      </w:pPr>
      <w:r>
        <w:rPr>
          <w:rFonts w:ascii="宋体" w:hAnsi="宋体" w:cs="宋体"/>
          <w:b/>
          <w:sz w:val="24"/>
          <w:lang w:val="zh-CN"/>
        </w:rPr>
        <w:t>持续优化经营管理策略</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公司通过优化管理架构、强化人才激励、降低融资成本等举措，提升经营效能。一是优化管理架构，对下属企业组织架构进行调整，打造精简高效、适应业务发展需要的团队。二是强化人才培养与激励。推进多层次梯队人才培养体系，启动基层骨干“飞鹰训练营”、高层研修班。进一步完善下属公司分配激励机制充分调动员工的主动性和积极性。三是多渠道降低融资成本，启动20亿元超短期融资券和20亿元中期票据发行工作，置换贷款、提供增信担保等举措支持异地项目公司的融资业务。</w:t>
      </w:r>
    </w:p>
    <w:p>
      <w:pPr>
        <w:autoSpaceDE w:val="0"/>
        <w:autoSpaceDN w:val="0"/>
        <w:adjustRightInd w:val="0"/>
        <w:spacing w:before="0" w:after="0" w:line="360" w:lineRule="auto"/>
        <w:ind w:firstLine="480"/>
        <w:rPr>
          <w:rFonts w:hint="default" w:ascii="宋体" w:hAnsi="宋体" w:cs="宋体"/>
          <w:b/>
          <w:sz w:val="24"/>
          <w:lang w:val="zh-CN"/>
        </w:rPr>
      </w:pPr>
      <w:r>
        <w:rPr>
          <w:rFonts w:ascii="宋体" w:hAnsi="宋体" w:cs="宋体"/>
          <w:b/>
          <w:sz w:val="24"/>
          <w:lang w:val="zh-CN"/>
        </w:rPr>
        <w:t>创新驱动技术升级</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公司加大研发投入,以创新为驱动力，不断提升行业核心竞争力。公司持续提升管网信息化管理水平，推动自动化改造、污水数据采集与分析平台、供水厂数字化智能等项目落地。通过国家级实验室平台，开展“MOSA污泥减量中试示范项目”等重点研发项目，培育核心技术。同时，加快科研成果转化与应用，开展了“膜处理工艺产业化研究”、“膜处理应用研究”等课题。公司还加强了与中山大学、湖南大学等院校开展产学研合作，促进技术的研发和运用。此外，公司成功受让获得6项专利，参与制定《农村生活污水处理设施出水景观利用技术指南》，并以“生态净水厂水质保障技术装备研究与示范”项目，成功申报北京水务科技进步奖、二等奖。</w:t>
      </w:r>
    </w:p>
    <w:p>
      <w:pPr>
        <w:autoSpaceDE w:val="0"/>
        <w:autoSpaceDN w:val="0"/>
        <w:adjustRightInd w:val="0"/>
        <w:spacing w:before="0" w:after="0" w:line="360" w:lineRule="auto"/>
        <w:ind w:firstLine="480"/>
        <w:rPr>
          <w:rFonts w:hint="default" w:ascii="宋体" w:hAnsi="宋体" w:cs="宋体"/>
          <w:b/>
          <w:sz w:val="24"/>
          <w:lang w:val="zh-CN"/>
        </w:rPr>
      </w:pPr>
      <w:r>
        <w:rPr>
          <w:rFonts w:ascii="宋体" w:hAnsi="宋体" w:cs="宋体"/>
          <w:b/>
          <w:sz w:val="24"/>
          <w:lang w:val="zh-CN"/>
        </w:rPr>
        <w:t>稳步推进重点工程项目建设</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公司全力推进名城名德医疗垃圾处理扩容项目，预计2020年年底前增加15吨/天处理能力。公用水务加快中山市老旧小区二次供水改造工程项目，已初步出具改造方案及预算。市管公司完成8个农贸市场升级改造工程，总投资约3</w:t>
      </w:r>
      <w:r>
        <w:rPr>
          <w:rFonts w:ascii="宋体" w:hAnsi="宋体" w:cs="宋体"/>
          <w:sz w:val="24"/>
        </w:rPr>
        <w:t>,</w:t>
      </w:r>
      <w:r>
        <w:rPr>
          <w:rFonts w:ascii="宋体" w:hAnsi="宋体" w:cs="宋体"/>
          <w:sz w:val="24"/>
          <w:lang w:val="zh-CN"/>
        </w:rPr>
        <w:t>300万元，6个农贸市场完成立项等前期工作。顺利完成长江路雨污分流主干管工程，翠亨新区起步区DN1000供水管工程EPC总承包、中山坦洲快线永久供水管道迁改工程等项目，正稳步有序地推进中。</w:t>
      </w:r>
    </w:p>
    <w:p>
      <w:pPr>
        <w:autoSpaceDE w:val="0"/>
        <w:autoSpaceDN w:val="0"/>
        <w:adjustRightInd w:val="0"/>
        <w:spacing w:before="0" w:after="0" w:line="360" w:lineRule="auto"/>
        <w:ind w:firstLine="480"/>
        <w:rPr>
          <w:rFonts w:hint="default" w:ascii="宋体" w:hAnsi="宋体" w:cs="宋体"/>
          <w:b/>
          <w:sz w:val="24"/>
          <w:lang w:val="zh-CN"/>
        </w:rPr>
      </w:pPr>
      <w:r>
        <w:rPr>
          <w:rFonts w:ascii="宋体" w:hAnsi="宋体" w:cs="宋体"/>
          <w:b/>
          <w:sz w:val="24"/>
          <w:lang w:val="zh-CN"/>
        </w:rPr>
        <w:t>履行社会职责、落实防疫工作部署</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作为一家主营业务与社会民生息息相关的上市公司，公司积极承担社会责任，把保障水质安全、城镇卫生、食品安全、航行安全视为履行社会责任的重要内容。2020年上半年，公司各业务板块积极配合上级工作部署，全力以赴做好疫情防控工作。</w:t>
      </w:r>
    </w:p>
    <w:p>
      <w:pPr>
        <w:autoSpaceDE w:val="0"/>
        <w:autoSpaceDN w:val="0"/>
        <w:adjustRightInd w:val="0"/>
        <w:spacing w:before="0" w:after="0" w:line="360" w:lineRule="auto"/>
        <w:ind w:firstLine="480"/>
        <w:rPr>
          <w:rFonts w:hint="default" w:ascii="宋体" w:hAnsi="宋体" w:cs="宋体"/>
          <w:sz w:val="24"/>
          <w:szCs w:val="22"/>
          <w:lang w:val="zh-CN"/>
        </w:rPr>
      </w:pPr>
      <w:r>
        <w:rPr>
          <w:rFonts w:ascii="宋体" w:hAnsi="宋体" w:cs="宋体"/>
          <w:sz w:val="24"/>
          <w:szCs w:val="22"/>
          <w:lang w:val="zh-CN"/>
        </w:rPr>
        <w:t>疫情期间，守护城市供水安全，实行“个体工商户水价减免10%”、“欠费不停水，逾期不收违约金”等优惠措施；市场公司配合政府部门稳定农产品供应，确保物价平稳。名城科技全力保障城市卫生，收集和焚烧处置医疗废物。此外，公司积极响应国资“稳企安商”政策号召，各下属企业与客户、商户共克时艰，累计减免各类租金、费用超2</w:t>
      </w:r>
      <w:r>
        <w:rPr>
          <w:rFonts w:ascii="宋体" w:hAnsi="宋体" w:cs="宋体"/>
          <w:sz w:val="24"/>
          <w:szCs w:val="22"/>
        </w:rPr>
        <w:t>,</w:t>
      </w:r>
      <w:r>
        <w:rPr>
          <w:rFonts w:ascii="宋体" w:hAnsi="宋体" w:cs="宋体"/>
          <w:sz w:val="24"/>
          <w:szCs w:val="22"/>
          <w:lang w:val="zh-CN"/>
        </w:rPr>
        <w:t>000万元。</w:t>
      </w:r>
    </w:p>
    <w:p>
      <w:pPr>
        <w:autoSpaceDE w:val="0"/>
        <w:autoSpaceDN w:val="0"/>
        <w:adjustRightInd w:val="0"/>
        <w:spacing w:before="0" w:beforeLines="0" w:after="0" w:afterLines="0" w:line="360" w:lineRule="auto"/>
        <w:ind w:firstLine="480"/>
        <w:rPr>
          <w:rFonts w:hint="eastAsia" w:ascii="宋体" w:hAnsi="宋体" w:eastAsia="宋体" w:cs="宋体"/>
          <w:color w:val="auto"/>
          <w:sz w:val="24"/>
          <w:szCs w:val="22"/>
          <w:lang w:val="zh-CN"/>
        </w:rPr>
      </w:pPr>
      <w:r>
        <w:rPr>
          <w:rFonts w:ascii="宋体" w:hAnsi="宋体" w:cs="宋体"/>
          <w:sz w:val="24"/>
          <w:szCs w:val="22"/>
          <w:lang w:val="zh-CN"/>
        </w:rPr>
        <w:t>报告期末，公司总资产达到201.9</w:t>
      </w:r>
      <w:r>
        <w:rPr>
          <w:rFonts w:ascii="宋体" w:hAnsi="宋体" w:cs="宋体"/>
          <w:sz w:val="24"/>
          <w:szCs w:val="22"/>
        </w:rPr>
        <w:t>5</w:t>
      </w:r>
      <w:r>
        <w:rPr>
          <w:rFonts w:ascii="宋体" w:hAnsi="宋体" w:cs="宋体"/>
          <w:sz w:val="24"/>
          <w:szCs w:val="22"/>
          <w:lang w:val="zh-CN"/>
        </w:rPr>
        <w:t>亿元，归属于上市公司股东的公司净资产135.3</w:t>
      </w:r>
      <w:r>
        <w:rPr>
          <w:rFonts w:ascii="宋体" w:hAnsi="宋体" w:cs="宋体"/>
          <w:sz w:val="24"/>
          <w:szCs w:val="22"/>
        </w:rPr>
        <w:t>1</w:t>
      </w:r>
      <w:r>
        <w:rPr>
          <w:rFonts w:ascii="宋体" w:hAnsi="宋体" w:cs="宋体"/>
          <w:sz w:val="24"/>
          <w:szCs w:val="22"/>
          <w:lang w:val="zh-CN"/>
        </w:rPr>
        <w:t>亿元，资产负债率为31.</w:t>
      </w:r>
      <w:r>
        <w:rPr>
          <w:rFonts w:ascii="宋体" w:hAnsi="宋体" w:cs="宋体"/>
          <w:sz w:val="24"/>
          <w:szCs w:val="22"/>
        </w:rPr>
        <w:t>36</w:t>
      </w:r>
      <w:r>
        <w:rPr>
          <w:rFonts w:ascii="宋体" w:hAnsi="宋体" w:cs="宋体"/>
          <w:sz w:val="24"/>
          <w:szCs w:val="22"/>
          <w:lang w:val="zh-CN"/>
        </w:rPr>
        <w:t>%，净资产收益率为5.23%。2020年上半年，公司实现营业收入8.92亿元，同比增长1.</w:t>
      </w:r>
      <w:r>
        <w:rPr>
          <w:rFonts w:ascii="宋体" w:hAnsi="宋体" w:cs="宋体"/>
          <w:sz w:val="24"/>
          <w:szCs w:val="22"/>
        </w:rPr>
        <w:t>46</w:t>
      </w:r>
      <w:r>
        <w:rPr>
          <w:rFonts w:ascii="宋体" w:hAnsi="宋体" w:cs="宋体"/>
          <w:sz w:val="24"/>
          <w:szCs w:val="22"/>
          <w:lang w:val="zh-CN"/>
        </w:rPr>
        <w:t>%，归属于上市公司股东的净利润7.03亿元，同比增长41.00%，剔除广发证券投资收益后净利润1.09亿元，同比增长53.3</w:t>
      </w:r>
      <w:r>
        <w:rPr>
          <w:rFonts w:ascii="宋体" w:hAnsi="宋体" w:cs="宋体"/>
          <w:sz w:val="24"/>
          <w:szCs w:val="22"/>
        </w:rPr>
        <w:t>0</w:t>
      </w:r>
      <w:r>
        <w:rPr>
          <w:rFonts w:ascii="宋体" w:hAnsi="宋体" w:cs="宋体"/>
          <w:sz w:val="24"/>
          <w:szCs w:val="22"/>
          <w:lang w:val="zh-CN"/>
        </w:rPr>
        <w:t>%。</w:t>
      </w:r>
    </w:p>
    <w:p>
      <w:pPr>
        <w:pStyle w:val="7"/>
        <w:spacing w:before="0" w:beforeLines="-2147483648" w:after="0" w:afterLines="-2147483648" w:line="360" w:lineRule="auto"/>
        <w:outlineLvl w:val="1"/>
        <w:rPr>
          <w:rFonts w:hint="eastAsia"/>
          <w:szCs w:val="22"/>
          <w:lang w:bidi="ar-SA"/>
        </w:rPr>
      </w:pPr>
      <w:r>
        <w:rPr>
          <w:rFonts w:hint="eastAsia"/>
          <w:szCs w:val="22"/>
          <w:lang w:bidi="ar-SA"/>
        </w:rPr>
        <w:t>2、涉及财务报告的相关事项</w:t>
      </w:r>
    </w:p>
    <w:p>
      <w:pPr>
        <w:pStyle w:val="7"/>
        <w:spacing w:before="0" w:beforeLines="-2147483648" w:after="0" w:afterLines="-2147483648" w:line="360" w:lineRule="auto"/>
        <w:outlineLvl w:val="1"/>
        <w:rPr>
          <w:rFonts w:hint="eastAsia" w:eastAsia="宋体"/>
          <w:szCs w:val="22"/>
          <w:lang w:bidi="ar-SA"/>
        </w:rPr>
      </w:pPr>
      <w:r>
        <w:rPr>
          <w:rFonts w:hint="eastAsia" w:eastAsia="宋体"/>
          <w:szCs w:val="22"/>
          <w:lang w:bidi="ar-SA"/>
        </w:rPr>
        <w:t>（1）与上一会计期间财务报告相比，会计政策、会计估计和核算方法发生变化的情况说明</w:t>
      </w:r>
    </w:p>
    <w:p>
      <w:pPr>
        <w:spacing w:before="0" w:beforeLines="-2147483648" w:after="0" w:afterLines="-2147483648" w:line="360" w:lineRule="auto"/>
        <w:jc w:val="left"/>
        <w:rPr>
          <w:rFonts w:hint="default" w:ascii="宋体" w:hAnsi="宋体"/>
          <w:sz w:val="24"/>
          <w:szCs w:val="22"/>
          <w:lang w:bidi="ar-SA"/>
        </w:rPr>
      </w:pPr>
      <w:r>
        <w:rPr>
          <w:rFonts w:hint="default" w:ascii="宋体" w:hAnsi="宋体"/>
          <w:sz w:val="24"/>
          <w:szCs w:val="22"/>
          <w:lang w:bidi="ar-SA"/>
        </w:rPr>
        <w:t xml:space="preserve">√ </w:t>
      </w:r>
      <w:r>
        <w:rPr>
          <w:rFonts w:hint="eastAsia" w:ascii="宋体" w:hAnsi="宋体"/>
          <w:sz w:val="24"/>
          <w:szCs w:val="22"/>
          <w:lang w:bidi="ar-SA"/>
        </w:rPr>
        <w:t>适用</w:t>
      </w:r>
      <w:r>
        <w:rPr>
          <w:rFonts w:hint="default" w:ascii="宋体" w:hAnsi="宋体"/>
          <w:sz w:val="24"/>
          <w:szCs w:val="22"/>
          <w:lang w:bidi="ar-SA"/>
        </w:rPr>
        <w:t xml:space="preserve"> □ </w:t>
      </w:r>
      <w:r>
        <w:rPr>
          <w:rFonts w:hint="eastAsia" w:ascii="宋体" w:hAnsi="宋体"/>
          <w:sz w:val="24"/>
          <w:szCs w:val="22"/>
          <w:lang w:bidi="ar-SA"/>
        </w:rPr>
        <w:t>不适用</w:t>
      </w:r>
      <w:r>
        <w:rPr>
          <w:rFonts w:hint="default" w:ascii="宋体" w:hAnsi="宋体"/>
          <w:sz w:val="24"/>
          <w:szCs w:val="22"/>
          <w:lang w:bidi="ar-SA"/>
        </w:rPr>
        <w:t xml:space="preserve"> </w:t>
      </w:r>
    </w:p>
    <w:p>
      <w:pPr>
        <w:autoSpaceDE w:val="0"/>
        <w:autoSpaceDN w:val="0"/>
        <w:adjustRightInd w:val="0"/>
        <w:spacing w:before="0" w:after="0" w:line="360" w:lineRule="auto"/>
        <w:ind w:firstLine="480"/>
        <w:rPr>
          <w:rFonts w:hint="default" w:ascii="宋体" w:hAnsi="宋体" w:eastAsia="宋体" w:cs="宋体"/>
          <w:sz w:val="24"/>
          <w:szCs w:val="22"/>
          <w:lang w:val="zh-CN"/>
        </w:rPr>
      </w:pPr>
      <w:r>
        <w:rPr>
          <w:rFonts w:hint="eastAsia" w:ascii="宋体" w:hAnsi="宋体" w:eastAsia="宋体" w:cs="宋体"/>
          <w:sz w:val="24"/>
          <w:szCs w:val="22"/>
          <w:lang w:val="zh-CN"/>
        </w:rPr>
        <w:t>①执行新收入准则导致的会计政策变更</w:t>
      </w:r>
    </w:p>
    <w:p>
      <w:pPr>
        <w:autoSpaceDE w:val="0"/>
        <w:autoSpaceDN w:val="0"/>
        <w:adjustRightInd w:val="0"/>
        <w:spacing w:before="0" w:after="0" w:line="360" w:lineRule="auto"/>
        <w:ind w:firstLine="480"/>
        <w:rPr>
          <w:rFonts w:hint="eastAsia" w:ascii="宋体" w:hAnsi="宋体" w:eastAsia="宋体" w:cs="宋体"/>
          <w:sz w:val="24"/>
          <w:szCs w:val="22"/>
          <w:lang w:val="zh-CN"/>
        </w:rPr>
      </w:pPr>
      <w:r>
        <w:rPr>
          <w:rFonts w:hint="eastAsia" w:ascii="宋体" w:hAnsi="宋体" w:eastAsia="宋体" w:cs="宋体"/>
          <w:sz w:val="24"/>
          <w:szCs w:val="22"/>
          <w:lang w:val="zh-CN"/>
        </w:rPr>
        <w:t>财政部于</w:t>
      </w:r>
      <w:r>
        <w:rPr>
          <w:rFonts w:hint="default" w:ascii="宋体" w:hAnsi="宋体" w:eastAsia="宋体" w:cs="宋体"/>
          <w:sz w:val="24"/>
          <w:szCs w:val="22"/>
          <w:lang w:val="zh-CN"/>
        </w:rPr>
        <w:t xml:space="preserve">2017 </w:t>
      </w:r>
      <w:r>
        <w:rPr>
          <w:rFonts w:hint="eastAsia" w:ascii="宋体" w:hAnsi="宋体" w:eastAsia="宋体" w:cs="宋体"/>
          <w:sz w:val="24"/>
          <w:szCs w:val="22"/>
          <w:lang w:val="zh-CN"/>
        </w:rPr>
        <w:t>年</w:t>
      </w:r>
      <w:r>
        <w:rPr>
          <w:rFonts w:hint="default" w:ascii="宋体" w:hAnsi="宋体" w:eastAsia="宋体" w:cs="宋体"/>
          <w:sz w:val="24"/>
          <w:szCs w:val="22"/>
          <w:lang w:val="zh-CN"/>
        </w:rPr>
        <w:t xml:space="preserve"> 7</w:t>
      </w:r>
      <w:r>
        <w:rPr>
          <w:rFonts w:hint="eastAsia" w:ascii="宋体" w:hAnsi="宋体" w:eastAsia="宋体" w:cs="宋体"/>
          <w:sz w:val="24"/>
          <w:szCs w:val="22"/>
          <w:lang w:val="zh-CN"/>
        </w:rPr>
        <w:t>月</w:t>
      </w:r>
      <w:r>
        <w:rPr>
          <w:rFonts w:hint="default" w:ascii="宋体" w:hAnsi="宋体" w:eastAsia="宋体" w:cs="宋体"/>
          <w:sz w:val="24"/>
          <w:szCs w:val="22"/>
          <w:lang w:val="zh-CN"/>
        </w:rPr>
        <w:t>5</w:t>
      </w:r>
      <w:r>
        <w:rPr>
          <w:rFonts w:hint="eastAsia" w:ascii="宋体" w:hAnsi="宋体" w:eastAsia="宋体" w:cs="宋体"/>
          <w:sz w:val="24"/>
          <w:szCs w:val="22"/>
          <w:lang w:val="zh-CN"/>
        </w:rPr>
        <w:t>日发布了《企业会计准则第</w:t>
      </w:r>
      <w:r>
        <w:rPr>
          <w:rFonts w:hint="default" w:ascii="宋体" w:hAnsi="宋体" w:eastAsia="宋体" w:cs="宋体"/>
          <w:sz w:val="24"/>
          <w:szCs w:val="22"/>
          <w:lang w:val="zh-CN"/>
        </w:rPr>
        <w:t>14</w:t>
      </w:r>
      <w:r>
        <w:rPr>
          <w:rFonts w:hint="eastAsia" w:ascii="宋体" w:hAnsi="宋体" w:eastAsia="宋体" w:cs="宋体"/>
          <w:sz w:val="24"/>
          <w:szCs w:val="22"/>
          <w:lang w:val="zh-CN"/>
        </w:rPr>
        <w:t>号</w:t>
      </w:r>
      <w:r>
        <w:rPr>
          <w:rFonts w:hint="default" w:ascii="宋体" w:hAnsi="宋体" w:eastAsia="宋体" w:cs="宋体"/>
          <w:sz w:val="24"/>
          <w:szCs w:val="22"/>
          <w:lang w:val="zh-CN"/>
        </w:rPr>
        <w:t>——</w:t>
      </w:r>
      <w:r>
        <w:rPr>
          <w:rFonts w:hint="eastAsia" w:ascii="宋体" w:hAnsi="宋体" w:eastAsia="宋体" w:cs="宋体"/>
          <w:sz w:val="24"/>
          <w:szCs w:val="22"/>
          <w:lang w:val="zh-CN"/>
        </w:rPr>
        <w:t>收入》要求在境内外同时上市的企业以及在境外上市并采用国际财务报告准则或企业会计准则编制财务报表的企业，自</w:t>
      </w:r>
      <w:r>
        <w:rPr>
          <w:rFonts w:hint="default" w:ascii="宋体" w:hAnsi="宋体" w:eastAsia="宋体" w:cs="宋体"/>
          <w:sz w:val="24"/>
          <w:szCs w:val="22"/>
          <w:lang w:val="zh-CN"/>
        </w:rPr>
        <w:t>2018</w:t>
      </w:r>
      <w:r>
        <w:rPr>
          <w:rFonts w:hint="eastAsia" w:ascii="宋体" w:hAnsi="宋体" w:eastAsia="宋体" w:cs="宋体"/>
          <w:sz w:val="24"/>
          <w:szCs w:val="22"/>
          <w:lang w:val="zh-CN"/>
        </w:rPr>
        <w:t>年</w:t>
      </w:r>
      <w:r>
        <w:rPr>
          <w:rFonts w:hint="default" w:ascii="宋体" w:hAnsi="宋体" w:eastAsia="宋体" w:cs="宋体"/>
          <w:sz w:val="24"/>
          <w:szCs w:val="22"/>
          <w:lang w:val="zh-CN"/>
        </w:rPr>
        <w:t>1</w:t>
      </w:r>
      <w:r>
        <w:rPr>
          <w:rFonts w:hint="eastAsia" w:ascii="宋体" w:hAnsi="宋体" w:eastAsia="宋体" w:cs="宋体"/>
          <w:sz w:val="24"/>
          <w:szCs w:val="22"/>
          <w:lang w:val="zh-CN"/>
        </w:rPr>
        <w:t>月</w:t>
      </w:r>
      <w:r>
        <w:rPr>
          <w:rFonts w:hint="default" w:ascii="宋体" w:hAnsi="宋体" w:eastAsia="宋体" w:cs="宋体"/>
          <w:sz w:val="24"/>
          <w:szCs w:val="22"/>
          <w:lang w:val="zh-CN"/>
        </w:rPr>
        <w:t>1</w:t>
      </w:r>
      <w:r>
        <w:rPr>
          <w:rFonts w:hint="eastAsia" w:ascii="宋体" w:hAnsi="宋体" w:eastAsia="宋体" w:cs="宋体"/>
          <w:sz w:val="24"/>
          <w:szCs w:val="22"/>
          <w:lang w:val="zh-CN"/>
        </w:rPr>
        <w:t>日起施行；其他境内上市企业，自</w:t>
      </w:r>
      <w:r>
        <w:rPr>
          <w:rFonts w:hint="default" w:ascii="宋体" w:hAnsi="宋体" w:eastAsia="宋体" w:cs="宋体"/>
          <w:sz w:val="24"/>
          <w:szCs w:val="22"/>
          <w:lang w:val="zh-CN"/>
        </w:rPr>
        <w:t>2020</w:t>
      </w:r>
      <w:r>
        <w:rPr>
          <w:rFonts w:hint="eastAsia" w:ascii="宋体" w:hAnsi="宋体" w:eastAsia="宋体" w:cs="宋体"/>
          <w:sz w:val="24"/>
          <w:szCs w:val="22"/>
          <w:lang w:val="zh-CN"/>
        </w:rPr>
        <w:t>年</w:t>
      </w:r>
      <w:r>
        <w:rPr>
          <w:rFonts w:hint="default" w:ascii="宋体" w:hAnsi="宋体" w:eastAsia="宋体" w:cs="宋体"/>
          <w:sz w:val="24"/>
          <w:szCs w:val="22"/>
          <w:lang w:val="zh-CN"/>
        </w:rPr>
        <w:t>1</w:t>
      </w:r>
      <w:r>
        <w:rPr>
          <w:rFonts w:hint="eastAsia" w:ascii="宋体" w:hAnsi="宋体" w:eastAsia="宋体" w:cs="宋体"/>
          <w:sz w:val="24"/>
          <w:szCs w:val="22"/>
          <w:lang w:val="zh-CN"/>
        </w:rPr>
        <w:t>月</w:t>
      </w:r>
      <w:r>
        <w:rPr>
          <w:rFonts w:hint="default" w:ascii="宋体" w:hAnsi="宋体" w:eastAsia="宋体" w:cs="宋体"/>
          <w:sz w:val="24"/>
          <w:szCs w:val="22"/>
          <w:lang w:val="zh-CN"/>
        </w:rPr>
        <w:t>1</w:t>
      </w:r>
      <w:r>
        <w:rPr>
          <w:rFonts w:hint="eastAsia" w:ascii="宋体" w:hAnsi="宋体" w:eastAsia="宋体" w:cs="宋体"/>
          <w:sz w:val="24"/>
          <w:szCs w:val="22"/>
          <w:lang w:val="zh-CN"/>
        </w:rPr>
        <w:t>日起施行。</w:t>
      </w:r>
    </w:p>
    <w:p>
      <w:pPr>
        <w:autoSpaceDE w:val="0"/>
        <w:autoSpaceDN w:val="0"/>
        <w:adjustRightInd w:val="0"/>
        <w:spacing w:before="0" w:after="0" w:line="360" w:lineRule="auto"/>
        <w:ind w:firstLine="480"/>
        <w:rPr>
          <w:rFonts w:hint="eastAsia" w:ascii="宋体" w:hAnsi="宋体" w:eastAsia="宋体" w:cs="宋体"/>
          <w:sz w:val="24"/>
          <w:szCs w:val="22"/>
          <w:lang w:val="zh-CN"/>
        </w:rPr>
      </w:pPr>
      <w:r>
        <w:rPr>
          <w:rFonts w:hint="eastAsia" w:ascii="宋体" w:hAnsi="宋体" w:eastAsia="宋体" w:cs="宋体"/>
          <w:sz w:val="24"/>
          <w:szCs w:val="22"/>
          <w:lang w:val="zh-CN"/>
        </w:rPr>
        <w:t>经本公司第九届董事会第十次会议于</w:t>
      </w:r>
      <w:r>
        <w:rPr>
          <w:rFonts w:hint="default" w:ascii="宋体" w:hAnsi="宋体" w:eastAsia="宋体" w:cs="宋体"/>
          <w:sz w:val="24"/>
          <w:szCs w:val="22"/>
          <w:lang w:val="zh-CN"/>
        </w:rPr>
        <w:t>2020</w:t>
      </w:r>
      <w:r>
        <w:rPr>
          <w:rFonts w:hint="eastAsia" w:ascii="宋体" w:hAnsi="宋体" w:eastAsia="宋体" w:cs="宋体"/>
          <w:sz w:val="24"/>
          <w:szCs w:val="22"/>
          <w:lang w:val="zh-CN"/>
        </w:rPr>
        <w:t>年</w:t>
      </w:r>
      <w:r>
        <w:rPr>
          <w:rFonts w:hint="default" w:ascii="宋体" w:hAnsi="宋体" w:eastAsia="宋体" w:cs="宋体"/>
          <w:sz w:val="24"/>
          <w:szCs w:val="22"/>
          <w:lang w:val="zh-CN"/>
        </w:rPr>
        <w:t>4</w:t>
      </w:r>
      <w:r>
        <w:rPr>
          <w:rFonts w:hint="eastAsia" w:ascii="宋体" w:hAnsi="宋体" w:eastAsia="宋体" w:cs="宋体"/>
          <w:sz w:val="24"/>
          <w:szCs w:val="22"/>
          <w:lang w:val="zh-CN"/>
        </w:rPr>
        <w:t>月</w:t>
      </w:r>
      <w:r>
        <w:rPr>
          <w:rFonts w:hint="default" w:ascii="宋体" w:hAnsi="宋体" w:eastAsia="宋体" w:cs="宋体"/>
          <w:sz w:val="24"/>
          <w:szCs w:val="22"/>
          <w:lang w:val="zh-CN"/>
        </w:rPr>
        <w:t>23</w:t>
      </w:r>
      <w:r>
        <w:rPr>
          <w:rFonts w:hint="eastAsia" w:ascii="宋体" w:hAnsi="宋体" w:eastAsia="宋体" w:cs="宋体"/>
          <w:sz w:val="24"/>
          <w:szCs w:val="22"/>
          <w:lang w:val="zh-CN"/>
        </w:rPr>
        <w:t>日决议通过《关于公司会计政策变更的议案》，公司于</w:t>
      </w:r>
      <w:r>
        <w:rPr>
          <w:rFonts w:hint="default" w:ascii="宋体" w:hAnsi="宋体" w:eastAsia="宋体" w:cs="宋体"/>
          <w:sz w:val="24"/>
          <w:szCs w:val="22"/>
          <w:lang w:val="zh-CN"/>
        </w:rPr>
        <w:t>2020</w:t>
      </w:r>
      <w:r>
        <w:rPr>
          <w:rFonts w:hint="eastAsia" w:ascii="宋体" w:hAnsi="宋体" w:eastAsia="宋体" w:cs="宋体"/>
          <w:sz w:val="24"/>
          <w:szCs w:val="22"/>
          <w:lang w:val="zh-CN"/>
        </w:rPr>
        <w:t>年</w:t>
      </w:r>
      <w:r>
        <w:rPr>
          <w:rFonts w:hint="default" w:ascii="宋体" w:hAnsi="宋体" w:eastAsia="宋体" w:cs="宋体"/>
          <w:sz w:val="24"/>
          <w:szCs w:val="22"/>
          <w:lang w:val="zh-CN"/>
        </w:rPr>
        <w:t>1</w:t>
      </w:r>
      <w:r>
        <w:rPr>
          <w:rFonts w:hint="eastAsia" w:ascii="宋体" w:hAnsi="宋体" w:eastAsia="宋体" w:cs="宋体"/>
          <w:sz w:val="24"/>
          <w:szCs w:val="22"/>
          <w:lang w:val="zh-CN"/>
        </w:rPr>
        <w:t>月</w:t>
      </w:r>
      <w:r>
        <w:rPr>
          <w:rFonts w:hint="default" w:ascii="宋体" w:hAnsi="宋体" w:eastAsia="宋体" w:cs="宋体"/>
          <w:sz w:val="24"/>
          <w:szCs w:val="22"/>
          <w:lang w:val="zh-CN"/>
        </w:rPr>
        <w:t>1</w:t>
      </w:r>
      <w:r>
        <w:rPr>
          <w:rFonts w:hint="eastAsia" w:ascii="宋体" w:hAnsi="宋体" w:eastAsia="宋体" w:cs="宋体"/>
          <w:sz w:val="24"/>
          <w:szCs w:val="22"/>
          <w:lang w:val="zh-CN"/>
        </w:rPr>
        <w:t>日起开始执行新收入准则。</w:t>
      </w:r>
    </w:p>
    <w:p>
      <w:pPr>
        <w:autoSpaceDE w:val="0"/>
        <w:autoSpaceDN w:val="0"/>
        <w:adjustRightInd w:val="0"/>
        <w:spacing w:before="0" w:after="0" w:line="360" w:lineRule="auto"/>
        <w:ind w:firstLine="480"/>
        <w:rPr>
          <w:rFonts w:hint="eastAsia" w:ascii="宋体" w:hAnsi="宋体" w:eastAsia="宋体" w:cs="宋体"/>
          <w:sz w:val="24"/>
          <w:szCs w:val="22"/>
          <w:lang w:val="zh-CN"/>
        </w:rPr>
      </w:pPr>
      <w:r>
        <w:rPr>
          <w:rFonts w:hint="eastAsia" w:ascii="宋体" w:hAnsi="宋体" w:eastAsia="宋体" w:cs="宋体"/>
          <w:sz w:val="24"/>
          <w:szCs w:val="22"/>
          <w:lang w:val="zh-CN"/>
        </w:rPr>
        <w:t>新收入准则将现行收入和建造合同两项准则纳入统一的收入确认模型；以控制权转移替代风险报酬转移作为收入确认时点的判断标准；识别合同所包含的各单项履约义务并在履行时分别确认收入；对于包含多重交易安排的合同的会计处理提供更明确的指引；对于某些特定交易（或事项）的收入确认和计量给出了明确规定。</w:t>
      </w:r>
    </w:p>
    <w:p>
      <w:pPr>
        <w:autoSpaceDE w:val="0"/>
        <w:autoSpaceDN w:val="0"/>
        <w:adjustRightInd w:val="0"/>
        <w:spacing w:before="0" w:after="0" w:line="360" w:lineRule="auto"/>
        <w:ind w:firstLine="480"/>
        <w:rPr>
          <w:rFonts w:hint="default" w:ascii="宋体" w:hAnsi="宋体" w:eastAsia="宋体" w:cs="宋体"/>
          <w:sz w:val="24"/>
          <w:szCs w:val="22"/>
          <w:lang w:val="zh-CN"/>
        </w:rPr>
      </w:pPr>
      <w:r>
        <w:rPr>
          <w:rFonts w:hint="eastAsia" w:ascii="宋体" w:hAnsi="宋体" w:eastAsia="宋体" w:cs="宋体"/>
          <w:sz w:val="24"/>
          <w:szCs w:val="22"/>
          <w:lang w:val="zh-CN"/>
        </w:rPr>
        <w:t>根据新旧准则转换的衔接规定，自</w:t>
      </w:r>
      <w:r>
        <w:rPr>
          <w:rFonts w:hint="default" w:ascii="宋体" w:hAnsi="宋体" w:eastAsia="宋体" w:cs="宋体"/>
          <w:sz w:val="24"/>
          <w:szCs w:val="22"/>
          <w:lang w:val="zh-CN"/>
        </w:rPr>
        <w:t>2020</w:t>
      </w:r>
      <w:r>
        <w:rPr>
          <w:rFonts w:hint="eastAsia" w:ascii="宋体" w:hAnsi="宋体" w:eastAsia="宋体" w:cs="宋体"/>
          <w:sz w:val="24"/>
          <w:szCs w:val="22"/>
          <w:lang w:val="zh-CN"/>
        </w:rPr>
        <w:t>年</w:t>
      </w:r>
      <w:r>
        <w:rPr>
          <w:rFonts w:hint="default" w:ascii="宋体" w:hAnsi="宋体" w:eastAsia="宋体" w:cs="宋体"/>
          <w:sz w:val="24"/>
          <w:szCs w:val="22"/>
          <w:lang w:val="zh-CN"/>
        </w:rPr>
        <w:t>1</w:t>
      </w:r>
      <w:r>
        <w:rPr>
          <w:rFonts w:hint="eastAsia" w:ascii="宋体" w:hAnsi="宋体" w:eastAsia="宋体" w:cs="宋体"/>
          <w:sz w:val="24"/>
          <w:szCs w:val="22"/>
          <w:lang w:val="zh-CN"/>
        </w:rPr>
        <w:t>月</w:t>
      </w:r>
      <w:r>
        <w:rPr>
          <w:rFonts w:hint="default" w:ascii="宋体" w:hAnsi="宋体" w:eastAsia="宋体" w:cs="宋体"/>
          <w:sz w:val="24"/>
          <w:szCs w:val="22"/>
          <w:lang w:val="zh-CN"/>
        </w:rPr>
        <w:t>1</w:t>
      </w:r>
      <w:r>
        <w:rPr>
          <w:rFonts w:hint="eastAsia" w:ascii="宋体" w:hAnsi="宋体" w:eastAsia="宋体" w:cs="宋体"/>
          <w:sz w:val="24"/>
          <w:szCs w:val="22"/>
          <w:lang w:val="zh-CN"/>
        </w:rPr>
        <w:t>日起，公司应当根据首次执行新收入准则的累积影响数调整期初留存收益及财务报表其他相关项目金额，对可比期间信息不予调整。</w:t>
      </w:r>
    </w:p>
    <w:p>
      <w:pPr>
        <w:autoSpaceDE w:val="0"/>
        <w:autoSpaceDN w:val="0"/>
        <w:adjustRightInd w:val="0"/>
        <w:spacing w:before="0" w:after="0" w:line="360" w:lineRule="auto"/>
        <w:ind w:firstLine="480"/>
        <w:rPr>
          <w:rFonts w:hint="default" w:ascii="宋体" w:hAnsi="宋体" w:eastAsia="宋体" w:cs="宋体"/>
          <w:sz w:val="24"/>
          <w:szCs w:val="22"/>
          <w:lang w:val="zh-CN"/>
        </w:rPr>
      </w:pPr>
      <w:r>
        <w:rPr>
          <w:rFonts w:hint="eastAsia" w:ascii="宋体" w:hAnsi="宋体" w:eastAsia="宋体" w:cs="宋体"/>
          <w:sz w:val="24"/>
          <w:szCs w:val="22"/>
          <w:lang w:val="zh-CN"/>
        </w:rPr>
        <w:t>②执行新收入准则的主要变化和影响如下：</w:t>
      </w:r>
    </w:p>
    <w:p>
      <w:pPr>
        <w:autoSpaceDE w:val="0"/>
        <w:autoSpaceDN w:val="0"/>
        <w:adjustRightInd w:val="0"/>
        <w:spacing w:before="0" w:after="0" w:line="360" w:lineRule="auto"/>
        <w:ind w:firstLine="480"/>
        <w:rPr>
          <w:rFonts w:hint="default" w:ascii="宋体" w:hAnsi="宋体" w:eastAsia="宋体" w:cs="宋体"/>
          <w:sz w:val="24"/>
          <w:szCs w:val="22"/>
          <w:lang w:val="zh-CN"/>
        </w:rPr>
      </w:pPr>
      <w:r>
        <w:rPr>
          <w:rFonts w:hint="default" w:ascii="宋体" w:hAnsi="宋体" w:eastAsia="宋体" w:cs="宋体"/>
          <w:sz w:val="24"/>
          <w:szCs w:val="22"/>
          <w:lang w:val="zh-CN"/>
        </w:rPr>
        <w:t>--</w:t>
      </w:r>
      <w:r>
        <w:rPr>
          <w:rFonts w:hint="eastAsia" w:ascii="宋体" w:hAnsi="宋体" w:eastAsia="宋体" w:cs="宋体"/>
          <w:sz w:val="24"/>
          <w:szCs w:val="22"/>
          <w:lang w:val="zh-CN"/>
        </w:rPr>
        <w:t>公司将已向客户转让商品或提供服务而有权收取对价的权利（该权利取决于时间流逝之外的其他因素）从</w:t>
      </w:r>
      <w:r>
        <w:rPr>
          <w:rFonts w:hint="default" w:ascii="宋体" w:hAnsi="宋体" w:eastAsia="宋体" w:cs="宋体"/>
          <w:sz w:val="24"/>
          <w:szCs w:val="22"/>
          <w:lang w:val="zh-CN"/>
        </w:rPr>
        <w:t>“</w:t>
      </w:r>
      <w:r>
        <w:rPr>
          <w:rFonts w:hint="eastAsia" w:ascii="宋体" w:hAnsi="宋体" w:eastAsia="宋体" w:cs="宋体"/>
          <w:sz w:val="24"/>
          <w:szCs w:val="22"/>
          <w:lang w:val="zh-CN"/>
        </w:rPr>
        <w:t>应收账款</w:t>
      </w:r>
      <w:r>
        <w:rPr>
          <w:rFonts w:hint="default" w:ascii="宋体" w:hAnsi="宋体" w:eastAsia="宋体" w:cs="宋体"/>
          <w:sz w:val="24"/>
          <w:szCs w:val="22"/>
          <w:lang w:val="zh-CN"/>
        </w:rPr>
        <w:t>”</w:t>
      </w:r>
      <w:r>
        <w:rPr>
          <w:rFonts w:hint="eastAsia" w:ascii="宋体" w:hAnsi="宋体" w:eastAsia="宋体" w:cs="宋体"/>
          <w:sz w:val="24"/>
          <w:szCs w:val="22"/>
          <w:lang w:val="zh-CN"/>
        </w:rPr>
        <w:t>、</w:t>
      </w:r>
      <w:r>
        <w:rPr>
          <w:rFonts w:hint="default" w:ascii="宋体" w:hAnsi="宋体" w:eastAsia="宋体" w:cs="宋体"/>
          <w:sz w:val="24"/>
          <w:szCs w:val="22"/>
          <w:lang w:val="zh-CN"/>
        </w:rPr>
        <w:t>“</w:t>
      </w:r>
      <w:r>
        <w:rPr>
          <w:rFonts w:hint="eastAsia" w:ascii="宋体" w:hAnsi="宋体" w:eastAsia="宋体" w:cs="宋体"/>
          <w:sz w:val="24"/>
          <w:szCs w:val="22"/>
          <w:lang w:val="zh-CN"/>
        </w:rPr>
        <w:t>存货</w:t>
      </w:r>
      <w:r>
        <w:rPr>
          <w:rFonts w:hint="default" w:ascii="宋体" w:hAnsi="宋体" w:eastAsia="宋体" w:cs="宋体"/>
          <w:sz w:val="24"/>
          <w:szCs w:val="22"/>
          <w:lang w:val="zh-CN"/>
        </w:rPr>
        <w:t>”</w:t>
      </w:r>
      <w:r>
        <w:rPr>
          <w:rFonts w:hint="eastAsia" w:ascii="宋体" w:hAnsi="宋体" w:eastAsia="宋体" w:cs="宋体"/>
          <w:sz w:val="24"/>
          <w:szCs w:val="22"/>
          <w:lang w:val="zh-CN"/>
        </w:rPr>
        <w:t>项目变更为</w:t>
      </w:r>
      <w:r>
        <w:rPr>
          <w:rFonts w:hint="default" w:ascii="宋体" w:hAnsi="宋体" w:eastAsia="宋体" w:cs="宋体"/>
          <w:sz w:val="24"/>
          <w:szCs w:val="22"/>
          <w:lang w:val="zh-CN"/>
        </w:rPr>
        <w:t>“</w:t>
      </w:r>
      <w:r>
        <w:rPr>
          <w:rFonts w:hint="eastAsia" w:ascii="宋体" w:hAnsi="宋体" w:eastAsia="宋体" w:cs="宋体"/>
          <w:sz w:val="24"/>
          <w:szCs w:val="22"/>
          <w:lang w:val="zh-CN"/>
        </w:rPr>
        <w:t>合同资产</w:t>
      </w:r>
      <w:r>
        <w:rPr>
          <w:rFonts w:hint="default" w:ascii="宋体" w:hAnsi="宋体" w:eastAsia="宋体" w:cs="宋体"/>
          <w:sz w:val="24"/>
          <w:szCs w:val="22"/>
          <w:lang w:val="zh-CN"/>
        </w:rPr>
        <w:t>”</w:t>
      </w:r>
      <w:r>
        <w:rPr>
          <w:rFonts w:hint="eastAsia" w:ascii="宋体" w:hAnsi="宋体" w:eastAsia="宋体" w:cs="宋体"/>
          <w:sz w:val="24"/>
          <w:szCs w:val="22"/>
          <w:lang w:val="zh-CN"/>
        </w:rPr>
        <w:t>项目列报。</w:t>
      </w:r>
      <w:r>
        <w:rPr>
          <w:rFonts w:hint="default" w:ascii="宋体" w:hAnsi="宋体" w:eastAsia="宋体" w:cs="宋体"/>
          <w:sz w:val="24"/>
          <w:szCs w:val="22"/>
          <w:lang w:val="zh-CN"/>
        </w:rPr>
        <w:t xml:space="preserve"> </w:t>
      </w:r>
    </w:p>
    <w:p>
      <w:pPr>
        <w:autoSpaceDE w:val="0"/>
        <w:autoSpaceDN w:val="0"/>
        <w:adjustRightInd w:val="0"/>
        <w:spacing w:before="0" w:after="0" w:line="360" w:lineRule="auto"/>
        <w:ind w:firstLine="480"/>
        <w:rPr>
          <w:rFonts w:hint="eastAsia" w:ascii="宋体" w:hAnsi="宋体" w:eastAsia="宋体" w:cs="宋体"/>
          <w:sz w:val="24"/>
          <w:szCs w:val="22"/>
          <w:lang w:val="zh-CN"/>
        </w:rPr>
      </w:pPr>
      <w:r>
        <w:rPr>
          <w:rFonts w:hint="default" w:ascii="宋体" w:hAnsi="宋体" w:eastAsia="宋体" w:cs="宋体"/>
          <w:sz w:val="24"/>
          <w:szCs w:val="22"/>
          <w:lang w:val="zh-CN"/>
        </w:rPr>
        <w:t>--</w:t>
      </w:r>
      <w:r>
        <w:rPr>
          <w:rFonts w:hint="eastAsia" w:ascii="宋体" w:hAnsi="宋体" w:eastAsia="宋体" w:cs="宋体"/>
          <w:sz w:val="24"/>
          <w:szCs w:val="22"/>
          <w:lang w:val="zh-CN"/>
        </w:rPr>
        <w:t>公司将因转让商品或提供服务而预先收取客户的合同对价从</w:t>
      </w:r>
      <w:r>
        <w:rPr>
          <w:rFonts w:hint="default" w:ascii="宋体" w:hAnsi="宋体" w:eastAsia="宋体" w:cs="宋体"/>
          <w:sz w:val="24"/>
          <w:szCs w:val="22"/>
          <w:lang w:val="zh-CN"/>
        </w:rPr>
        <w:t>“</w:t>
      </w:r>
      <w:r>
        <w:rPr>
          <w:rFonts w:hint="eastAsia" w:ascii="宋体" w:hAnsi="宋体" w:eastAsia="宋体" w:cs="宋体"/>
          <w:sz w:val="24"/>
          <w:szCs w:val="22"/>
          <w:lang w:val="zh-CN"/>
        </w:rPr>
        <w:t>预收账款</w:t>
      </w:r>
      <w:r>
        <w:rPr>
          <w:rFonts w:hint="default" w:ascii="宋体" w:hAnsi="宋体" w:eastAsia="宋体" w:cs="宋体"/>
          <w:sz w:val="24"/>
          <w:szCs w:val="22"/>
          <w:lang w:val="zh-CN"/>
        </w:rPr>
        <w:t>”</w:t>
      </w:r>
      <w:r>
        <w:rPr>
          <w:rFonts w:hint="eastAsia" w:ascii="宋体" w:hAnsi="宋体" w:eastAsia="宋体" w:cs="宋体"/>
          <w:sz w:val="24"/>
          <w:szCs w:val="22"/>
          <w:lang w:val="zh-CN"/>
        </w:rPr>
        <w:t>项目变更为</w:t>
      </w:r>
      <w:r>
        <w:rPr>
          <w:rFonts w:hint="default" w:ascii="宋体" w:hAnsi="宋体" w:eastAsia="宋体" w:cs="宋体"/>
          <w:sz w:val="24"/>
          <w:szCs w:val="22"/>
          <w:lang w:val="zh-CN"/>
        </w:rPr>
        <w:t>“</w:t>
      </w:r>
      <w:r>
        <w:rPr>
          <w:rFonts w:hint="eastAsia" w:ascii="宋体" w:hAnsi="宋体" w:eastAsia="宋体" w:cs="宋体"/>
          <w:sz w:val="24"/>
          <w:szCs w:val="22"/>
          <w:lang w:val="zh-CN"/>
        </w:rPr>
        <w:t>合同负债</w:t>
      </w:r>
      <w:r>
        <w:rPr>
          <w:rFonts w:hint="default" w:ascii="宋体" w:hAnsi="宋体" w:eastAsia="宋体" w:cs="宋体"/>
          <w:sz w:val="24"/>
          <w:szCs w:val="22"/>
          <w:lang w:val="zh-CN"/>
        </w:rPr>
        <w:t>”</w:t>
      </w:r>
      <w:r>
        <w:rPr>
          <w:rFonts w:hint="eastAsia" w:ascii="宋体" w:hAnsi="宋体" w:eastAsia="宋体" w:cs="宋体"/>
          <w:sz w:val="24"/>
          <w:szCs w:val="22"/>
          <w:lang w:val="zh-CN"/>
        </w:rPr>
        <w:t>项目列报。</w:t>
      </w:r>
    </w:p>
    <w:p>
      <w:pPr>
        <w:autoSpaceDE w:val="0"/>
        <w:autoSpaceDN w:val="0"/>
        <w:adjustRightInd w:val="0"/>
        <w:spacing w:before="0" w:after="0" w:line="360" w:lineRule="auto"/>
        <w:ind w:firstLine="480"/>
        <w:rPr>
          <w:rFonts w:hint="eastAsia" w:ascii="宋体" w:hAnsi="宋体" w:eastAsia="宋体" w:cs="宋体"/>
          <w:sz w:val="24"/>
          <w:szCs w:val="22"/>
          <w:lang w:val="zh-CN"/>
        </w:rPr>
      </w:pPr>
      <w:r>
        <w:rPr>
          <w:rFonts w:hint="default" w:ascii="宋体" w:hAnsi="宋体" w:eastAsia="宋体" w:cs="宋体"/>
          <w:sz w:val="24"/>
          <w:szCs w:val="22"/>
          <w:lang w:val="zh-CN"/>
        </w:rPr>
        <w:t>--</w:t>
      </w:r>
      <w:r>
        <w:rPr>
          <w:rFonts w:hint="eastAsia" w:ascii="宋体" w:hAnsi="宋体" w:eastAsia="宋体" w:cs="宋体"/>
          <w:sz w:val="24"/>
          <w:szCs w:val="22"/>
          <w:lang w:val="zh-CN"/>
        </w:rPr>
        <w:t>公司执行新收入准则，未对</w:t>
      </w:r>
      <w:r>
        <w:rPr>
          <w:rFonts w:hint="default" w:ascii="宋体" w:hAnsi="宋体" w:eastAsia="宋体" w:cs="宋体"/>
          <w:sz w:val="24"/>
          <w:szCs w:val="22"/>
          <w:lang w:val="zh-CN"/>
        </w:rPr>
        <w:t xml:space="preserve"> 2020 </w:t>
      </w:r>
      <w:r>
        <w:rPr>
          <w:rFonts w:hint="eastAsia" w:ascii="宋体" w:hAnsi="宋体" w:eastAsia="宋体" w:cs="宋体"/>
          <w:sz w:val="24"/>
          <w:szCs w:val="22"/>
          <w:lang w:val="zh-CN"/>
        </w:rPr>
        <w:t>年年初留存收益产生影响，对</w:t>
      </w:r>
      <w:r>
        <w:rPr>
          <w:rFonts w:hint="default" w:ascii="宋体" w:hAnsi="宋体" w:eastAsia="宋体" w:cs="宋体"/>
          <w:sz w:val="24"/>
          <w:szCs w:val="22"/>
          <w:lang w:val="zh-CN"/>
        </w:rPr>
        <w:t xml:space="preserve"> 2020 </w:t>
      </w:r>
      <w:r>
        <w:rPr>
          <w:rFonts w:hint="eastAsia" w:ascii="宋体" w:hAnsi="宋体" w:eastAsia="宋体" w:cs="宋体"/>
          <w:sz w:val="24"/>
          <w:szCs w:val="22"/>
          <w:lang w:val="zh-CN"/>
        </w:rPr>
        <w:t>年</w:t>
      </w:r>
      <w:r>
        <w:rPr>
          <w:rFonts w:hint="default" w:ascii="宋体" w:hAnsi="宋体" w:eastAsia="宋体" w:cs="宋体"/>
          <w:sz w:val="24"/>
          <w:szCs w:val="22"/>
          <w:lang w:val="zh-CN"/>
        </w:rPr>
        <w:t xml:space="preserve"> 1 </w:t>
      </w:r>
      <w:r>
        <w:rPr>
          <w:rFonts w:hint="eastAsia" w:ascii="宋体" w:hAnsi="宋体" w:eastAsia="宋体" w:cs="宋体"/>
          <w:sz w:val="24"/>
          <w:szCs w:val="22"/>
          <w:lang w:val="zh-CN"/>
        </w:rPr>
        <w:t>月</w:t>
      </w:r>
      <w:r>
        <w:rPr>
          <w:rFonts w:hint="default" w:ascii="宋体" w:hAnsi="宋体" w:eastAsia="宋体" w:cs="宋体"/>
          <w:sz w:val="24"/>
          <w:szCs w:val="22"/>
          <w:lang w:val="zh-CN"/>
        </w:rPr>
        <w:t xml:space="preserve"> 1</w:t>
      </w:r>
      <w:r>
        <w:rPr>
          <w:rFonts w:hint="eastAsia" w:ascii="宋体" w:hAnsi="宋体" w:eastAsia="宋体" w:cs="宋体"/>
          <w:sz w:val="24"/>
          <w:szCs w:val="22"/>
          <w:lang w:val="zh-CN"/>
        </w:rPr>
        <w:t>日财务报表其他相关项目的影响情况如下：</w:t>
      </w:r>
    </w:p>
    <w:p>
      <w:pPr>
        <w:autoSpaceDE w:val="0"/>
        <w:autoSpaceDN w:val="0"/>
        <w:adjustRightInd w:val="0"/>
        <w:spacing w:before="0" w:after="0" w:line="360" w:lineRule="auto"/>
        <w:ind w:firstLine="480"/>
        <w:rPr>
          <w:rFonts w:hint="eastAsia" w:ascii="宋体" w:hAnsi="宋体" w:eastAsia="宋体" w:cs="宋体"/>
          <w:sz w:val="24"/>
          <w:szCs w:val="22"/>
          <w:lang w:val="zh-CN"/>
        </w:rPr>
      </w:pPr>
      <w:r>
        <w:rPr>
          <w:rFonts w:hint="default" w:ascii="宋体" w:hAnsi="宋体" w:eastAsia="宋体" w:cs="宋体"/>
          <w:sz w:val="24"/>
          <w:szCs w:val="22"/>
          <w:lang w:val="zh-CN"/>
        </w:rPr>
        <w:t>--</w:t>
      </w:r>
      <w:r>
        <w:rPr>
          <w:rFonts w:hint="eastAsia" w:ascii="宋体" w:hAnsi="宋体" w:eastAsia="宋体" w:cs="宋体"/>
          <w:sz w:val="24"/>
          <w:szCs w:val="22"/>
          <w:lang w:val="zh-CN"/>
        </w:rPr>
        <w:t>对合并报表的影响如下：</w:t>
      </w:r>
    </w:p>
    <w:p>
      <w:pPr>
        <w:autoSpaceDE w:val="0"/>
        <w:autoSpaceDN w:val="0"/>
        <w:adjustRightInd w:val="0"/>
        <w:spacing w:before="0" w:after="0" w:line="360" w:lineRule="auto"/>
        <w:ind w:firstLine="480"/>
        <w:rPr>
          <w:rFonts w:hint="eastAsia" w:ascii="宋体" w:hAnsi="宋体" w:eastAsia="宋体" w:cs="宋体"/>
          <w:sz w:val="24"/>
          <w:szCs w:val="22"/>
          <w:lang w:val="zh-CN"/>
        </w:rPr>
      </w:pPr>
    </w:p>
    <w:p>
      <w:pPr>
        <w:autoSpaceDE w:val="0"/>
        <w:autoSpaceDN w:val="0"/>
        <w:adjustRightInd w:val="0"/>
        <w:spacing w:before="0" w:after="0" w:line="360" w:lineRule="auto"/>
        <w:ind w:firstLine="480"/>
        <w:jc w:val="right"/>
        <w:rPr>
          <w:rFonts w:hint="eastAsia" w:ascii="宋体" w:hAnsi="宋体" w:eastAsia="宋体" w:cs="宋体"/>
          <w:sz w:val="24"/>
          <w:szCs w:val="22"/>
          <w:lang w:val="zh-CN" w:eastAsia="zh-CN"/>
        </w:rPr>
      </w:pPr>
      <w:r>
        <w:rPr>
          <w:rFonts w:hint="eastAsia"/>
          <w:sz w:val="24"/>
          <w:szCs w:val="22"/>
          <w:lang w:bidi="ar-SA"/>
        </w:rPr>
        <w:t>单位：</w:t>
      </w:r>
      <w:r>
        <w:rPr>
          <w:rFonts w:hint="eastAsia"/>
          <w:sz w:val="24"/>
          <w:szCs w:val="22"/>
          <w:lang w:eastAsia="zh-CN" w:bidi="ar-SA"/>
        </w:rPr>
        <w:t>元</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2086"/>
        <w:gridCol w:w="2685"/>
        <w:gridCol w:w="2595"/>
        <w:gridCol w:w="2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2086"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项目</w:t>
            </w:r>
          </w:p>
        </w:tc>
        <w:tc>
          <w:tcPr>
            <w:tcW w:w="268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2019年12月31日</w:t>
            </w:r>
          </w:p>
        </w:tc>
        <w:tc>
          <w:tcPr>
            <w:tcW w:w="259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2020年1月1日</w:t>
            </w: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调整数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2086"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流动资产：</w:t>
            </w:r>
          </w:p>
        </w:tc>
        <w:tc>
          <w:tcPr>
            <w:tcW w:w="268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p>
        </w:tc>
        <w:tc>
          <w:tcPr>
            <w:tcW w:w="259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2086"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　　应收账款</w:t>
            </w:r>
          </w:p>
        </w:tc>
        <w:tc>
          <w:tcPr>
            <w:tcW w:w="26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424,275,453.32</w:t>
            </w:r>
          </w:p>
        </w:tc>
        <w:tc>
          <w:tcPr>
            <w:tcW w:w="2595"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289,231,329.53</w:t>
            </w: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-135,044,123.79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2086"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　　存货</w:t>
            </w:r>
          </w:p>
        </w:tc>
        <w:tc>
          <w:tcPr>
            <w:tcW w:w="26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235,471,304.64</w:t>
            </w:r>
          </w:p>
        </w:tc>
        <w:tc>
          <w:tcPr>
            <w:tcW w:w="2595"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101,646,160.21</w:t>
            </w: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-133,825,144.43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2086"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　　合同资产</w:t>
            </w:r>
          </w:p>
        </w:tc>
        <w:tc>
          <w:tcPr>
            <w:tcW w:w="26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w:t>
            </w:r>
          </w:p>
        </w:tc>
        <w:tc>
          <w:tcPr>
            <w:tcW w:w="2595"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268,869,268.22</w:t>
            </w: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268,869,268.22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2086"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流动负债：</w:t>
            </w:r>
          </w:p>
        </w:tc>
        <w:tc>
          <w:tcPr>
            <w:tcW w:w="268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p>
        </w:tc>
        <w:tc>
          <w:tcPr>
            <w:tcW w:w="259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2086"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　　预收款项</w:t>
            </w:r>
          </w:p>
        </w:tc>
        <w:tc>
          <w:tcPr>
            <w:tcW w:w="26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516,731,952.14</w:t>
            </w:r>
          </w:p>
        </w:tc>
        <w:tc>
          <w:tcPr>
            <w:tcW w:w="2595"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center"/>
          </w:tcPr>
          <w:p>
            <w:pPr>
              <w:autoSpaceDE w:val="0"/>
              <w:autoSpaceDN w:val="0"/>
              <w:adjustRightInd w:val="0"/>
              <w:spacing w:before="0" w:after="0"/>
              <w:jc w:val="right"/>
              <w:rPr>
                <w:rFonts w:hint="eastAsia" w:ascii="宋体" w:hAnsi="宋体" w:cs="宋体"/>
                <w:kern w:val="0"/>
                <w:sz w:val="21"/>
                <w:szCs w:val="21"/>
                <w:lang w:val="zh-CN"/>
              </w:rPr>
            </w:pPr>
            <w:r>
              <w:rPr>
                <w:rFonts w:ascii="宋体" w:hAnsi="宋体" w:cs="宋体"/>
                <w:kern w:val="0"/>
                <w:sz w:val="21"/>
                <w:szCs w:val="21"/>
                <w:lang w:val="zh-CN"/>
              </w:rPr>
              <w:t>40,409,681.09</w:t>
            </w: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top"/>
          </w:tcPr>
          <w:p>
            <w:pPr>
              <w:autoSpaceDE w:val="0"/>
              <w:autoSpaceDN w:val="0"/>
              <w:adjustRightInd w:val="0"/>
              <w:spacing w:before="0" w:after="0"/>
              <w:jc w:val="right"/>
              <w:rPr>
                <w:rFonts w:hint="eastAsia" w:ascii="宋体" w:hAnsi="宋体" w:eastAsia="宋体" w:cs="宋体"/>
                <w:kern w:val="0"/>
                <w:sz w:val="21"/>
                <w:szCs w:val="21"/>
                <w:lang w:val="zh-CN" w:eastAsia="zh-CN"/>
              </w:rPr>
            </w:pPr>
            <w:r>
              <w:rPr>
                <w:rFonts w:hint="default" w:ascii="宋体" w:hAnsi="宋体" w:cs="宋体"/>
                <w:kern w:val="0"/>
                <w:sz w:val="21"/>
                <w:szCs w:val="21"/>
                <w:lang w:val="zh-CN"/>
              </w:rPr>
              <w:t>-476</w:t>
            </w:r>
            <w:r>
              <w:rPr>
                <w:rFonts w:ascii="宋体" w:hAnsi="宋体" w:cs="宋体"/>
                <w:kern w:val="0"/>
                <w:sz w:val="21"/>
                <w:szCs w:val="21"/>
                <w:lang w:val="zh-CN"/>
              </w:rPr>
              <w:t>,</w:t>
            </w:r>
            <w:r>
              <w:rPr>
                <w:rFonts w:hint="default" w:ascii="宋体" w:hAnsi="宋体" w:cs="宋体"/>
                <w:kern w:val="0"/>
                <w:sz w:val="21"/>
                <w:szCs w:val="21"/>
                <w:lang w:val="zh-CN"/>
              </w:rPr>
              <w:t>322</w:t>
            </w:r>
            <w:r>
              <w:rPr>
                <w:rFonts w:ascii="宋体" w:hAnsi="宋体" w:cs="宋体"/>
                <w:kern w:val="0"/>
                <w:sz w:val="21"/>
                <w:szCs w:val="21"/>
                <w:lang w:val="zh-CN"/>
              </w:rPr>
              <w:t>,</w:t>
            </w:r>
            <w:r>
              <w:rPr>
                <w:rFonts w:hint="default" w:ascii="宋体" w:hAnsi="宋体" w:cs="宋体"/>
                <w:kern w:val="0"/>
                <w:sz w:val="21"/>
                <w:szCs w:val="21"/>
                <w:lang w:val="zh-CN"/>
              </w:rPr>
              <w:t>271.05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2086"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after="0"/>
              <w:jc w:val="lef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　　合同负债</w:t>
            </w:r>
          </w:p>
        </w:tc>
        <w:tc>
          <w:tcPr>
            <w:tcW w:w="268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autoSpaceDE w:val="0"/>
              <w:autoSpaceDN w:val="0"/>
              <w:adjustRightInd w:val="0"/>
              <w:spacing w:before="0" w:after="0"/>
              <w:jc w:val="right"/>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w:t>
            </w:r>
          </w:p>
        </w:tc>
        <w:tc>
          <w:tcPr>
            <w:tcW w:w="2595"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center"/>
          </w:tcPr>
          <w:p>
            <w:pPr>
              <w:autoSpaceDE w:val="0"/>
              <w:autoSpaceDN w:val="0"/>
              <w:adjustRightInd w:val="0"/>
              <w:spacing w:before="0" w:after="0"/>
              <w:jc w:val="right"/>
              <w:rPr>
                <w:rFonts w:hint="eastAsia" w:ascii="宋体" w:hAnsi="宋体" w:cs="宋体"/>
                <w:kern w:val="0"/>
                <w:sz w:val="21"/>
                <w:szCs w:val="21"/>
                <w:lang w:val="zh-CN"/>
              </w:rPr>
            </w:pPr>
            <w:r>
              <w:rPr>
                <w:rFonts w:ascii="宋体" w:hAnsi="宋体" w:cs="宋体"/>
                <w:kern w:val="0"/>
                <w:sz w:val="21"/>
                <w:szCs w:val="21"/>
                <w:lang w:val="zh-CN"/>
              </w:rPr>
              <w:t>476,322,271.05</w:t>
            </w:r>
          </w:p>
        </w:tc>
        <w:tc>
          <w:tcPr>
            <w:tcW w:w="2100" w:type="dxa"/>
            <w:tcBorders>
              <w:top w:val="single" w:color="auto" w:sz="6" w:space="0"/>
              <w:left w:val="single" w:color="auto" w:sz="6" w:space="0"/>
              <w:bottom w:val="single" w:color="auto" w:sz="6" w:space="0"/>
              <w:right w:val="single" w:color="auto" w:sz="6" w:space="0"/>
              <w:tl2br w:val="nil"/>
              <w:tr2bl w:val="nil"/>
            </w:tcBorders>
            <w:shd w:val="clear" w:color="auto" w:fill="FFFFFF"/>
            <w:noWrap w:val="0"/>
            <w:vAlign w:val="top"/>
          </w:tcPr>
          <w:p>
            <w:pPr>
              <w:autoSpaceDE w:val="0"/>
              <w:autoSpaceDN w:val="0"/>
              <w:adjustRightInd w:val="0"/>
              <w:spacing w:before="0" w:after="0"/>
              <w:jc w:val="right"/>
              <w:rPr>
                <w:rFonts w:hint="eastAsia" w:ascii="宋体" w:hAnsi="宋体" w:eastAsia="宋体" w:cs="宋体"/>
                <w:kern w:val="0"/>
                <w:sz w:val="21"/>
                <w:szCs w:val="21"/>
                <w:lang w:val="zh-CN" w:eastAsia="zh-CN"/>
              </w:rPr>
            </w:pPr>
            <w:r>
              <w:rPr>
                <w:rFonts w:hint="default" w:ascii="宋体" w:hAnsi="宋体" w:cs="宋体"/>
                <w:kern w:val="0"/>
                <w:sz w:val="21"/>
                <w:szCs w:val="21"/>
                <w:lang w:val="zh-CN"/>
              </w:rPr>
              <w:t>476</w:t>
            </w:r>
            <w:r>
              <w:rPr>
                <w:rFonts w:ascii="宋体" w:hAnsi="宋体" w:cs="宋体"/>
                <w:kern w:val="0"/>
                <w:sz w:val="21"/>
                <w:szCs w:val="21"/>
                <w:lang w:val="zh-CN"/>
              </w:rPr>
              <w:t>,</w:t>
            </w:r>
            <w:r>
              <w:rPr>
                <w:rFonts w:hint="default" w:ascii="宋体" w:hAnsi="宋体" w:cs="宋体"/>
                <w:kern w:val="0"/>
                <w:sz w:val="21"/>
                <w:szCs w:val="21"/>
                <w:lang w:val="zh-CN"/>
              </w:rPr>
              <w:t>322</w:t>
            </w:r>
            <w:r>
              <w:rPr>
                <w:rFonts w:ascii="宋体" w:hAnsi="宋体" w:cs="宋体"/>
                <w:kern w:val="0"/>
                <w:sz w:val="21"/>
                <w:szCs w:val="21"/>
                <w:lang w:val="zh-CN"/>
              </w:rPr>
              <w:t>,</w:t>
            </w:r>
            <w:r>
              <w:rPr>
                <w:rFonts w:hint="default" w:ascii="宋体" w:hAnsi="宋体" w:cs="宋体"/>
                <w:kern w:val="0"/>
                <w:sz w:val="21"/>
                <w:szCs w:val="21"/>
                <w:lang w:val="zh-CN"/>
              </w:rPr>
              <w:t>271.05</w:t>
            </w:r>
          </w:p>
        </w:tc>
      </w:tr>
    </w:tbl>
    <w:p>
      <w:pPr>
        <w:autoSpaceDE w:val="0"/>
        <w:autoSpaceDN w:val="0"/>
        <w:adjustRightInd w:val="0"/>
        <w:rPr>
          <w:rFonts w:hint="eastAsia" w:eastAsia="宋体"/>
          <w:szCs w:val="22"/>
          <w:lang w:bidi="ar-SA"/>
        </w:rPr>
      </w:pPr>
      <w:r>
        <w:rPr>
          <w:rFonts w:hint="default" w:eastAsia="Times New Roman"/>
          <w:kern w:val="0"/>
          <w:sz w:val="24"/>
          <w:lang w:val="zh-CN"/>
        </w:rPr>
        <w:t xml:space="preserve">  </w:t>
      </w:r>
      <w:r>
        <w:rPr>
          <w:rFonts w:hint="default" w:ascii="宋体" w:hAnsi="宋体" w:eastAsia="宋体" w:cs="宋体"/>
          <w:sz w:val="24"/>
          <w:szCs w:val="22"/>
          <w:lang w:val="zh-CN"/>
        </w:rPr>
        <w:t xml:space="preserve"> --</w:t>
      </w:r>
      <w:r>
        <w:rPr>
          <w:rFonts w:hint="eastAsia" w:ascii="宋体" w:hAnsi="宋体" w:eastAsia="宋体" w:cs="宋体"/>
          <w:sz w:val="24"/>
          <w:szCs w:val="22"/>
          <w:lang w:val="zh-CN"/>
        </w:rPr>
        <w:t>对母公司报表无影响。</w:t>
      </w:r>
    </w:p>
    <w:p>
      <w:pPr>
        <w:pStyle w:val="7"/>
        <w:spacing w:before="0" w:beforeLines="-2147483648" w:after="0" w:afterLines="-2147483648" w:line="360" w:lineRule="auto"/>
        <w:outlineLvl w:val="1"/>
        <w:rPr>
          <w:rFonts w:hint="eastAsia" w:eastAsia="宋体"/>
          <w:szCs w:val="22"/>
          <w:lang w:bidi="ar-SA"/>
        </w:rPr>
      </w:pPr>
      <w:r>
        <w:rPr>
          <w:rFonts w:hint="eastAsia" w:eastAsia="宋体"/>
          <w:szCs w:val="22"/>
          <w:lang w:bidi="ar-SA"/>
        </w:rPr>
        <w:t>（2）报告期内发生重大会计差错更正需追溯重述的情况说明</w:t>
      </w:r>
    </w:p>
    <w:p>
      <w:pPr>
        <w:spacing w:before="0" w:after="0" w:line="360" w:lineRule="auto"/>
        <w:jc w:val="left"/>
        <w:rPr>
          <w:rFonts w:hint="default" w:ascii="宋体" w:hAnsi="宋体"/>
          <w:sz w:val="24"/>
        </w:rPr>
      </w:pPr>
      <w:r>
        <w:rPr>
          <w:rFonts w:ascii="宋体" w:hAnsi="宋体"/>
          <w:sz w:val="24"/>
        </w:rPr>
        <w:t xml:space="preserve">□ 适用 √ 不适用 </w:t>
      </w:r>
    </w:p>
    <w:p>
      <w:pPr>
        <w:spacing w:before="0" w:after="0" w:line="360" w:lineRule="auto"/>
        <w:jc w:val="left"/>
        <w:rPr>
          <w:rFonts w:hint="default" w:ascii="宋体" w:hAnsi="宋体"/>
          <w:sz w:val="24"/>
        </w:rPr>
      </w:pPr>
      <w:r>
        <w:rPr>
          <w:rFonts w:ascii="宋体" w:hAnsi="宋体"/>
          <w:sz w:val="24"/>
        </w:rPr>
        <w:t>公司报告期无重大会计差错更正需追溯重述的情况。</w:t>
      </w:r>
    </w:p>
    <w:p>
      <w:pPr>
        <w:pStyle w:val="7"/>
        <w:spacing w:before="0" w:beforeLines="-2147483648" w:after="0" w:afterLines="-2147483648" w:line="360" w:lineRule="auto"/>
        <w:outlineLvl w:val="1"/>
        <w:rPr>
          <w:rFonts w:hint="eastAsia" w:eastAsia="宋体"/>
          <w:szCs w:val="22"/>
          <w:lang w:bidi="ar-SA"/>
        </w:rPr>
      </w:pPr>
      <w:r>
        <w:rPr>
          <w:rFonts w:hint="eastAsia" w:eastAsia="宋体"/>
          <w:szCs w:val="22"/>
          <w:lang w:bidi="ar-SA"/>
        </w:rPr>
        <w:t>（3）与上一会计期间财务报告相比，合并报表范围发生变化的情况说明</w:t>
      </w:r>
    </w:p>
    <w:p>
      <w:pPr>
        <w:spacing w:before="0" w:after="0" w:line="360" w:lineRule="auto"/>
        <w:jc w:val="left"/>
        <w:rPr>
          <w:rFonts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适用</w:t>
      </w: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不适用</w:t>
      </w:r>
      <w:r>
        <w:rPr>
          <w:rFonts w:ascii="宋体" w:hAnsi="宋体"/>
          <w:sz w:val="24"/>
          <w:szCs w:val="24"/>
        </w:rPr>
        <w:t xml:space="preserve"> </w:t>
      </w:r>
    </w:p>
    <w:p>
      <w:pPr>
        <w:spacing w:before="0" w:after="0" w:line="360" w:lineRule="auto"/>
        <w:jc w:val="left"/>
        <w:rPr>
          <w:rFonts w:hint="eastAsia" w:ascii="宋体" w:hAnsi="宋体"/>
          <w:sz w:val="24"/>
          <w:szCs w:val="24"/>
        </w:rPr>
      </w:pPr>
      <w:r>
        <w:rPr>
          <w:rFonts w:hint="eastAsia" w:ascii="宋体" w:hAnsi="宋体"/>
          <w:sz w:val="24"/>
          <w:szCs w:val="24"/>
        </w:rPr>
        <w:t>公司报告期无合并报表范围发生变化的情况。</w:t>
      </w:r>
    </w:p>
    <w:p>
      <w:pPr>
        <w:spacing w:before="0" w:after="0" w:line="360" w:lineRule="auto"/>
        <w:jc w:val="left"/>
        <w:rPr>
          <w:rFonts w:hint="eastAsia" w:ascii="宋体" w:hAnsi="宋体"/>
          <w:sz w:val="24"/>
          <w:szCs w:val="24"/>
        </w:rPr>
      </w:pPr>
    </w:p>
    <w:p>
      <w:pPr>
        <w:spacing w:before="0" w:after="0" w:line="360" w:lineRule="auto"/>
        <w:jc w:val="left"/>
        <w:rPr>
          <w:rFonts w:hint="eastAsia" w:ascii="宋体" w:hAnsi="宋体"/>
          <w:sz w:val="24"/>
          <w:szCs w:val="24"/>
        </w:rPr>
      </w:pPr>
    </w:p>
    <w:p>
      <w:pPr>
        <w:spacing w:before="0" w:after="0" w:line="360" w:lineRule="auto"/>
        <w:jc w:val="left"/>
        <w:rPr>
          <w:rFonts w:hint="eastAsia" w:ascii="宋体" w:hAnsi="宋体"/>
          <w:sz w:val="24"/>
          <w:szCs w:val="24"/>
        </w:rPr>
      </w:pPr>
    </w:p>
    <w:p>
      <w:pPr>
        <w:wordWrap w:val="0"/>
        <w:spacing w:before="120" w:beforeLines="50" w:after="0" w:line="360" w:lineRule="auto"/>
        <w:ind w:firstLine="480" w:firstLineChars="200"/>
        <w:jc w:val="right"/>
        <w:rPr>
          <w:rFonts w:hint="eastAsia" w:ascii="宋体" w:eastAsia="宋体"/>
          <w:sz w:val="24"/>
          <w:szCs w:val="24"/>
          <w:lang w:val="en-US" w:eastAsia="zh-CN"/>
        </w:rPr>
      </w:pPr>
      <w:r>
        <w:rPr>
          <w:rFonts w:ascii="宋体"/>
          <w:sz w:val="24"/>
          <w:szCs w:val="24"/>
          <w:lang w:val="zh-CN"/>
        </w:rPr>
        <w:t>中山公用事业集团股份有限公司</w:t>
      </w:r>
      <w:r>
        <w:rPr>
          <w:rFonts w:hint="eastAsia" w:ascii="宋体"/>
          <w:sz w:val="24"/>
          <w:szCs w:val="24"/>
          <w:lang w:val="en-US" w:eastAsia="zh-CN"/>
        </w:rPr>
        <w:t xml:space="preserve"> </w:t>
      </w:r>
    </w:p>
    <w:p>
      <w:pPr>
        <w:spacing w:before="0" w:after="0" w:line="360" w:lineRule="auto"/>
        <w:ind w:firstLine="7560" w:firstLineChars="3150"/>
        <w:rPr>
          <w:rFonts w:hint="default" w:ascii="宋体"/>
          <w:sz w:val="24"/>
          <w:szCs w:val="24"/>
          <w:lang w:val="zh-CN"/>
        </w:rPr>
      </w:pPr>
      <w:r>
        <w:rPr>
          <w:rFonts w:ascii="宋体"/>
          <w:sz w:val="24"/>
          <w:szCs w:val="24"/>
          <w:lang w:val="zh-CN"/>
        </w:rPr>
        <w:t>董事会</w:t>
      </w:r>
    </w:p>
    <w:p>
      <w:pPr>
        <w:autoSpaceDE w:val="0"/>
        <w:autoSpaceDN w:val="0"/>
        <w:adjustRightInd w:val="0"/>
        <w:spacing w:before="0" w:after="0" w:line="360" w:lineRule="auto"/>
        <w:ind w:firstLine="480" w:firstLineChars="200"/>
        <w:rPr>
          <w:rFonts w:hint="eastAsia" w:ascii="宋体" w:hAnsi="宋体" w:eastAsia="宋体"/>
          <w:sz w:val="24"/>
          <w:lang w:val="en-US" w:eastAsia="zh-CN"/>
        </w:rPr>
      </w:pPr>
      <w:r>
        <w:rPr>
          <w:rFonts w:ascii="宋体"/>
          <w:sz w:val="24"/>
          <w:szCs w:val="24"/>
          <w:lang w:val="zh-CN"/>
        </w:rPr>
        <w:t xml:space="preserve">                                                   二〇二〇年八月</w:t>
      </w:r>
      <w:r>
        <w:rPr>
          <w:rFonts w:hint="eastAsia" w:ascii="宋体"/>
          <w:sz w:val="24"/>
          <w:szCs w:val="24"/>
          <w:lang w:val="zh-CN"/>
        </w:rPr>
        <w:t>二十七</w:t>
      </w:r>
      <w:r>
        <w:rPr>
          <w:rFonts w:ascii="宋体"/>
          <w:sz w:val="24"/>
          <w:szCs w:val="24"/>
          <w:lang w:val="zh-CN"/>
        </w:rPr>
        <w:t>日</w:t>
      </w:r>
      <w:r>
        <w:rPr>
          <w:rFonts w:hint="eastAsia" w:ascii="宋体"/>
          <w:sz w:val="24"/>
          <w:szCs w:val="24"/>
          <w:lang w:val="en-US" w:eastAsia="zh-CN"/>
        </w:rPr>
        <w:t xml:space="preserve"> </w:t>
      </w:r>
    </w:p>
    <w:p>
      <w:pPr>
        <w:spacing w:before="0" w:after="0" w:line="360" w:lineRule="auto"/>
        <w:jc w:val="left"/>
        <w:rPr>
          <w:rFonts w:hint="eastAsia" w:ascii="宋体" w:hAnsi="宋体"/>
          <w:sz w:val="24"/>
          <w:szCs w:val="24"/>
        </w:rPr>
      </w:pPr>
    </w:p>
    <w:sectPr>
      <w:headerReference r:id="rId3" w:type="default"/>
      <w:footerReference r:id="rId4" w:type="default"/>
      <w:pgSz w:w="11906" w:h="16838"/>
      <w:pgMar w:top="1440" w:right="1134" w:bottom="1440" w:left="1134"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18"/>
      </w:rPr>
    </w:pPr>
    <w:r>
      <w:rPr>
        <w:rFonts w:hint="default"/>
        <w:sz w:val="18"/>
      </w:rPr>
      <w:fldChar w:fldCharType="begin"/>
    </w:r>
    <w:r>
      <w:rPr>
        <w:rFonts w:hint="default"/>
        <w:sz w:val="18"/>
      </w:rPr>
      <w:instrText xml:space="preserve"> PAGE </w:instrText>
    </w:r>
    <w:r>
      <w:rPr>
        <w:rFonts w:hint="default"/>
        <w:sz w:val="18"/>
      </w:rPr>
      <w:fldChar w:fldCharType="separate"/>
    </w:r>
    <w:r>
      <w:rPr>
        <w:rFonts w:hint="default"/>
        <w:sz w:val="18"/>
      </w:rPr>
      <w:t>1</w:t>
    </w:r>
    <w:r>
      <w:rPr>
        <w:rFonts w:hint="default"/>
        <w:sz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sz w:val="18"/>
      </w:rPr>
    </w:pPr>
    <w:r>
      <w:rPr>
        <w:rFonts w:hint="eastAsia"/>
        <w:sz w:val="18"/>
      </w:rPr>
      <w:t>中山公用事业集团股份有限公司2020年半年度报告摘要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238B7"/>
    <w:rsid w:val="16AE0E04"/>
    <w:rsid w:val="21DE4E8E"/>
    <w:rsid w:val="2F6A7FAA"/>
    <w:rsid w:val="38E130AC"/>
    <w:rsid w:val="474F3426"/>
    <w:rsid w:val="555C48A6"/>
    <w:rsid w:val="65561234"/>
    <w:rsid w:val="69561D76"/>
    <w:rsid w:val="6E3355BB"/>
    <w:rsid w:val="738C4FC5"/>
    <w:rsid w:val="79751A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99" w:semiHidden="0"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spacing w:before="40" w:beforeLines="0" w:after="40" w:afterLines="0"/>
      <w:jc w:val="both"/>
    </w:pPr>
    <w:rPr>
      <w:rFonts w:hint="eastAsia" w:ascii="Times New Roman" w:hAnsi="Times New Roman" w:eastAsia="宋体" w:cs="Times New Roman"/>
      <w:kern w:val="2"/>
      <w:sz w:val="18"/>
      <w:lang w:val="en-US" w:eastAsia="zh-CN"/>
    </w:rPr>
  </w:style>
  <w:style w:type="character" w:default="1" w:styleId="6">
    <w:name w:val="Default Paragraph Font"/>
    <w:unhideWhenUsed/>
    <w:uiPriority w:val="99"/>
    <w:rPr>
      <w:rFonts w:hint="default"/>
      <w:sz w:val="24"/>
    </w:rPr>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0" w:beforeLines="0" w:after="0" w:afterLines="0"/>
      <w:jc w:val="right"/>
    </w:pPr>
    <w:rPr>
      <w:rFonts w:hint="eastAsia"/>
      <w:sz w:val="18"/>
    </w:rPr>
  </w:style>
  <w:style w:type="paragraph" w:styleId="3">
    <w:name w:val="header"/>
    <w:basedOn w:val="1"/>
    <w:unhideWhenUsed/>
    <w:qFormat/>
    <w:uiPriority w:val="99"/>
    <w:pPr>
      <w:pBdr>
        <w:bottom w:val="single" w:color="auto" w:sz="6" w:space="1"/>
      </w:pBdr>
      <w:tabs>
        <w:tab w:val="center" w:pos="4153"/>
        <w:tab w:val="right" w:pos="8306"/>
      </w:tabs>
      <w:snapToGrid w:val="0"/>
      <w:spacing w:before="0" w:beforeLines="0" w:after="0" w:afterLines="0"/>
      <w:jc w:val="right"/>
    </w:pPr>
    <w:rPr>
      <w:rFonts w:hint="eastAsia"/>
      <w:sz w:val="18"/>
    </w:rPr>
  </w:style>
  <w:style w:type="paragraph" w:styleId="4">
    <w:name w:val="Title"/>
    <w:next w:val="1"/>
    <w:unhideWhenUsed/>
    <w:qFormat/>
    <w:uiPriority w:val="99"/>
    <w:pPr>
      <w:keepNext/>
      <w:keepLines/>
      <w:widowControl w:val="0"/>
      <w:spacing w:before="340" w:beforeLines="0" w:after="330" w:afterLines="0" w:line="578" w:lineRule="auto"/>
      <w:jc w:val="center"/>
    </w:pPr>
    <w:rPr>
      <w:rFonts w:hint="eastAsia" w:ascii="Times New Roman" w:hAnsi="Times New Roman" w:eastAsia="宋体" w:cs="Times New Roman"/>
      <w:b/>
      <w:kern w:val="32"/>
      <w:sz w:val="32"/>
      <w:lang w:val="en-US" w:eastAsia="zh-CN"/>
    </w:rPr>
  </w:style>
  <w:style w:type="paragraph" w:customStyle="1" w:styleId="7">
    <w:name w:val="Chapter"/>
    <w:next w:val="1"/>
    <w:unhideWhenUsed/>
    <w:qFormat/>
    <w:uiPriority w:val="99"/>
    <w:pPr>
      <w:keepNext/>
      <w:keepLines/>
      <w:widowControl w:val="0"/>
      <w:spacing w:before="300" w:beforeLines="0" w:after="300" w:afterLines="0" w:line="241" w:lineRule="auto"/>
      <w:jc w:val="both"/>
    </w:pPr>
    <w:rPr>
      <w:rFonts w:hint="eastAsia" w:ascii="Times New Roman" w:hAnsi="Times New Roman" w:eastAsia="宋体" w:cs="Times New Roman"/>
      <w:b/>
      <w:kern w:val="28"/>
      <w:sz w:val="24"/>
      <w:lang w:val="en-US" w:eastAsia="zh-CN"/>
    </w:rPr>
  </w:style>
  <w:style w:type="paragraph" w:customStyle="1" w:styleId="8">
    <w:name w:val="Section"/>
    <w:next w:val="1"/>
    <w:unhideWhenUsed/>
    <w:qFormat/>
    <w:uiPriority w:val="99"/>
    <w:pPr>
      <w:keepNext/>
      <w:keepLines/>
      <w:widowControl w:val="0"/>
      <w:spacing w:before="300" w:beforeLines="0" w:after="300" w:afterLines="0" w:line="241" w:lineRule="auto"/>
      <w:jc w:val="both"/>
    </w:pPr>
    <w:rPr>
      <w:rFonts w:hint="eastAsia" w:ascii="Times New Roman" w:hAnsi="Times New Roman" w:eastAsia="宋体" w:cs="Times New Roman"/>
      <w:b/>
      <w:kern w:val="28"/>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2020-08-17T09:26:00Z</dcterms:created>
  <dc:creator>lenovo</dc:creator>
  <cp:lastModifiedBy>申瑾</cp:lastModifiedBy>
  <dcterms:modified xsi:type="dcterms:W3CDTF">2020-08-28T04:49:40Z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