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885" w:rsidRDefault="006D5885">
      <w:pPr>
        <w:spacing w:before="300"/>
        <w:rPr>
          <w:rFonts w:cs="Times New Roman"/>
          <w:b/>
          <w:bCs/>
          <w:sz w:val="21"/>
          <w:szCs w:val="21"/>
        </w:rPr>
      </w:pPr>
      <w:bookmarkStart w:id="0" w:name="_GoBack"/>
      <w:bookmarkEnd w:id="0"/>
      <w:r>
        <w:rPr>
          <w:rFonts w:ascii="宋体" w:hAnsi="宋体" w:hint="eastAsia"/>
          <w:b/>
          <w:bCs/>
          <w:sz w:val="21"/>
          <w:szCs w:val="21"/>
        </w:rPr>
        <w:t>证券代码：</w:t>
      </w:r>
      <w:r>
        <w:rPr>
          <w:rFonts w:ascii="宋体" w:hAnsi="宋体"/>
          <w:b/>
          <w:bCs/>
          <w:sz w:val="21"/>
          <w:szCs w:val="21"/>
        </w:rPr>
        <w:t xml:space="preserve">000685                   </w:t>
      </w:r>
      <w:r>
        <w:rPr>
          <w:rFonts w:ascii="宋体" w:hAnsi="宋体" w:hint="eastAsia"/>
          <w:b/>
          <w:bCs/>
          <w:sz w:val="21"/>
          <w:szCs w:val="21"/>
        </w:rPr>
        <w:t>证券简称：中山公用</w:t>
      </w:r>
      <w:r>
        <w:rPr>
          <w:rFonts w:ascii="宋体" w:hAnsi="宋体"/>
          <w:b/>
          <w:bCs/>
          <w:sz w:val="21"/>
          <w:szCs w:val="21"/>
        </w:rPr>
        <w:t xml:space="preserve">                  </w:t>
      </w:r>
      <w:r>
        <w:rPr>
          <w:rFonts w:ascii="宋体" w:hAnsi="宋体" w:hint="eastAsia"/>
          <w:b/>
          <w:bCs/>
          <w:sz w:val="21"/>
          <w:szCs w:val="21"/>
        </w:rPr>
        <w:t>公告编号：</w:t>
      </w:r>
      <w:r>
        <w:rPr>
          <w:rFonts w:ascii="宋体" w:hAnsi="宋体"/>
          <w:b/>
          <w:bCs/>
          <w:sz w:val="21"/>
          <w:szCs w:val="21"/>
        </w:rPr>
        <w:t>2018-080</w:t>
      </w:r>
    </w:p>
    <w:p w:rsidR="006D5885" w:rsidRDefault="006D5885">
      <w:pPr>
        <w:spacing w:beforeLines="50" w:before="120" w:after="0" w:line="360" w:lineRule="auto"/>
        <w:jc w:val="center"/>
        <w:rPr>
          <w:rFonts w:eastAsia="Times New Roman" w:cs="Times New Roman"/>
          <w:kern w:val="0"/>
          <w:sz w:val="24"/>
          <w:szCs w:val="24"/>
        </w:rPr>
      </w:pPr>
    </w:p>
    <w:p w:rsidR="006D5885" w:rsidRDefault="006D5885">
      <w:pPr>
        <w:spacing w:before="0" w:after="0" w:line="360" w:lineRule="auto"/>
        <w:jc w:val="center"/>
        <w:rPr>
          <w:rFonts w:eastAsia="Times New Roman" w:cs="Times New Roman"/>
          <w:kern w:val="0"/>
          <w:sz w:val="24"/>
          <w:szCs w:val="24"/>
        </w:rPr>
      </w:pPr>
    </w:p>
    <w:p w:rsidR="006D5885" w:rsidRDefault="008C64EB">
      <w:pPr>
        <w:spacing w:before="0" w:after="0" w:line="360" w:lineRule="auto"/>
        <w:jc w:val="center"/>
        <w:rPr>
          <w:rFonts w:ascii="宋体"/>
          <w:b/>
          <w:bCs/>
          <w:sz w:val="44"/>
          <w:szCs w:val="44"/>
        </w:rPr>
      </w:pPr>
      <w:r>
        <w:rPr>
          <w:rFonts w:eastAsia="Times New Roman" w:cs="Times New Roman"/>
          <w:noProof/>
          <w:kern w:val="0"/>
          <w:sz w:val="24"/>
          <w:szCs w:val="24"/>
        </w:rPr>
        <w:drawing>
          <wp:inline distT="0" distB="0" distL="0" distR="0">
            <wp:extent cx="6086475" cy="6191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6475" cy="619125"/>
                    </a:xfrm>
                    <a:prstGeom prst="rect">
                      <a:avLst/>
                    </a:prstGeom>
                    <a:noFill/>
                    <a:ln>
                      <a:noFill/>
                    </a:ln>
                  </pic:spPr>
                </pic:pic>
              </a:graphicData>
            </a:graphic>
          </wp:inline>
        </w:drawing>
      </w:r>
    </w:p>
    <w:p w:rsidR="006D5885" w:rsidRDefault="006D5885">
      <w:pPr>
        <w:spacing w:before="0" w:after="0" w:line="360" w:lineRule="auto"/>
        <w:rPr>
          <w:rFonts w:ascii="宋体"/>
          <w:b/>
          <w:bCs/>
          <w:sz w:val="24"/>
          <w:szCs w:val="24"/>
        </w:rPr>
      </w:pPr>
    </w:p>
    <w:p w:rsidR="006D5885" w:rsidRDefault="006D5885">
      <w:pPr>
        <w:spacing w:before="0" w:after="0" w:line="360" w:lineRule="auto"/>
        <w:rPr>
          <w:rFonts w:ascii="宋体"/>
          <w:b/>
          <w:bCs/>
          <w:sz w:val="24"/>
          <w:szCs w:val="24"/>
        </w:rPr>
      </w:pPr>
    </w:p>
    <w:p w:rsidR="006D5885" w:rsidRDefault="006D5885">
      <w:pPr>
        <w:spacing w:before="0" w:after="0" w:line="360" w:lineRule="auto"/>
        <w:rPr>
          <w:rFonts w:ascii="宋体"/>
          <w:b/>
          <w:bCs/>
          <w:sz w:val="24"/>
          <w:szCs w:val="24"/>
        </w:rPr>
      </w:pPr>
    </w:p>
    <w:p w:rsidR="006D5885" w:rsidRDefault="006D5885">
      <w:pPr>
        <w:spacing w:before="0" w:after="0" w:line="360" w:lineRule="auto"/>
        <w:rPr>
          <w:rFonts w:ascii="宋体"/>
          <w:b/>
          <w:bCs/>
          <w:sz w:val="24"/>
          <w:szCs w:val="24"/>
        </w:rPr>
      </w:pPr>
    </w:p>
    <w:p w:rsidR="006D5885" w:rsidRDefault="006D5885">
      <w:pPr>
        <w:spacing w:before="0" w:after="0" w:line="360" w:lineRule="auto"/>
        <w:rPr>
          <w:rFonts w:ascii="宋体"/>
          <w:b/>
          <w:bCs/>
          <w:sz w:val="24"/>
          <w:szCs w:val="24"/>
        </w:rPr>
      </w:pPr>
    </w:p>
    <w:p w:rsidR="006D5885" w:rsidRDefault="006D5885">
      <w:pPr>
        <w:spacing w:before="0" w:after="0" w:line="360" w:lineRule="auto"/>
        <w:rPr>
          <w:rFonts w:ascii="宋体"/>
          <w:b/>
          <w:bCs/>
          <w:sz w:val="24"/>
          <w:szCs w:val="24"/>
        </w:rPr>
      </w:pPr>
    </w:p>
    <w:p w:rsidR="006D5885" w:rsidRDefault="006D5885">
      <w:pPr>
        <w:spacing w:before="0" w:after="0" w:line="360" w:lineRule="auto"/>
        <w:jc w:val="center"/>
        <w:rPr>
          <w:rFonts w:ascii="宋体"/>
          <w:b/>
          <w:bCs/>
          <w:color w:val="1F497D"/>
          <w:sz w:val="84"/>
          <w:szCs w:val="84"/>
        </w:rPr>
      </w:pPr>
      <w:r>
        <w:rPr>
          <w:rFonts w:ascii="宋体" w:hAnsi="宋体"/>
          <w:b/>
          <w:bCs/>
          <w:color w:val="1F497D"/>
          <w:sz w:val="84"/>
          <w:szCs w:val="84"/>
        </w:rPr>
        <w:t>2018</w:t>
      </w:r>
      <w:r>
        <w:rPr>
          <w:rFonts w:ascii="宋体" w:hAnsi="宋体" w:hint="eastAsia"/>
          <w:b/>
          <w:bCs/>
          <w:color w:val="1F497D"/>
          <w:sz w:val="84"/>
          <w:szCs w:val="84"/>
        </w:rPr>
        <w:t>年第三季度报告正文</w:t>
      </w:r>
    </w:p>
    <w:p w:rsidR="006D5885" w:rsidRDefault="006D5885">
      <w:pPr>
        <w:spacing w:before="6000" w:after="0"/>
        <w:jc w:val="center"/>
        <w:rPr>
          <w:rFonts w:ascii="宋体"/>
          <w:b/>
          <w:bCs/>
          <w:sz w:val="32"/>
          <w:szCs w:val="32"/>
        </w:rPr>
      </w:pPr>
      <w:r>
        <w:rPr>
          <w:rFonts w:ascii="宋体" w:hAnsi="宋体"/>
          <w:b/>
          <w:bCs/>
          <w:sz w:val="32"/>
          <w:szCs w:val="32"/>
        </w:rPr>
        <w:t>2018</w:t>
      </w:r>
      <w:r>
        <w:rPr>
          <w:rFonts w:ascii="宋体" w:hAnsi="宋体" w:hint="eastAsia"/>
          <w:b/>
          <w:bCs/>
          <w:sz w:val="32"/>
          <w:szCs w:val="32"/>
        </w:rPr>
        <w:t>年</w:t>
      </w:r>
      <w:r>
        <w:rPr>
          <w:rFonts w:ascii="宋体" w:hAnsi="宋体"/>
          <w:b/>
          <w:bCs/>
          <w:sz w:val="32"/>
          <w:szCs w:val="32"/>
        </w:rPr>
        <w:t>10</w:t>
      </w:r>
      <w:r>
        <w:rPr>
          <w:rFonts w:ascii="宋体" w:hAnsi="宋体" w:hint="eastAsia"/>
          <w:b/>
          <w:bCs/>
          <w:sz w:val="32"/>
          <w:szCs w:val="32"/>
        </w:rPr>
        <w:t>月</w:t>
      </w:r>
    </w:p>
    <w:p w:rsidR="006D5885" w:rsidRDefault="006D5885">
      <w:pPr>
        <w:spacing w:before="6000" w:after="0"/>
        <w:rPr>
          <w:rFonts w:eastAsia="Times New Roman" w:cs="Times New Roman"/>
          <w:b/>
          <w:bCs/>
          <w:sz w:val="32"/>
          <w:szCs w:val="32"/>
        </w:rPr>
        <w:sectPr w:rsidR="006D5885">
          <w:headerReference w:type="default" r:id="rId9"/>
          <w:footerReference w:type="default" r:id="rId10"/>
          <w:pgSz w:w="11906" w:h="16838"/>
          <w:pgMar w:top="1440" w:right="1134" w:bottom="1440" w:left="1134" w:header="720" w:footer="720" w:gutter="0"/>
          <w:cols w:space="720"/>
        </w:sectPr>
      </w:pPr>
    </w:p>
    <w:p w:rsidR="006D5885" w:rsidRDefault="006D5885">
      <w:pPr>
        <w:pStyle w:val="a3"/>
        <w:outlineLvl w:val="0"/>
        <w:rPr>
          <w:rFonts w:eastAsia="Times New Roman" w:cs="Times New Roman"/>
        </w:rPr>
      </w:pPr>
      <w:bookmarkStart w:id="1" w:name="_Toc300000084"/>
      <w:r>
        <w:rPr>
          <w:rFonts w:ascii="宋体" w:hAnsi="宋体" w:hint="eastAsia"/>
          <w:sz w:val="44"/>
          <w:szCs w:val="44"/>
        </w:rPr>
        <w:lastRenderedPageBreak/>
        <w:t>第一节</w:t>
      </w:r>
      <w:r>
        <w:rPr>
          <w:rFonts w:ascii="宋体" w:hAnsi="宋体"/>
          <w:sz w:val="44"/>
          <w:szCs w:val="44"/>
        </w:rPr>
        <w:t xml:space="preserve"> </w:t>
      </w:r>
      <w:r>
        <w:rPr>
          <w:rFonts w:ascii="宋体" w:hAnsi="宋体" w:hint="eastAsia"/>
          <w:sz w:val="44"/>
          <w:szCs w:val="44"/>
        </w:rPr>
        <w:t>重要提示</w:t>
      </w:r>
      <w:bookmarkEnd w:id="1"/>
    </w:p>
    <w:p w:rsidR="006D5885" w:rsidRDefault="006D5885">
      <w:pPr>
        <w:spacing w:before="0" w:after="0" w:line="360" w:lineRule="auto"/>
        <w:ind w:firstLineChars="200" w:firstLine="480"/>
        <w:rPr>
          <w:rFonts w:cs="Times New Roman"/>
          <w:sz w:val="24"/>
          <w:szCs w:val="24"/>
        </w:rPr>
      </w:pPr>
      <w:r>
        <w:rPr>
          <w:rFonts w:ascii="宋体" w:hAnsi="宋体" w:hint="eastAsia"/>
          <w:sz w:val="24"/>
          <w:szCs w:val="24"/>
        </w:rPr>
        <w:t>公司董事会、监事会及董事、监事、高级管理人员保证季度报告内容的真实、准确、完整，不存在虚假记载、误导性陈述或者重大遗漏，并承担个别和连带的法律责任。</w:t>
      </w:r>
    </w:p>
    <w:p w:rsidR="006D5885" w:rsidRDefault="006D5885">
      <w:pPr>
        <w:spacing w:before="0" w:after="0" w:line="360" w:lineRule="auto"/>
        <w:ind w:firstLineChars="200" w:firstLine="480"/>
        <w:rPr>
          <w:rFonts w:cs="Times New Roman"/>
          <w:sz w:val="24"/>
          <w:szCs w:val="24"/>
        </w:rPr>
      </w:pPr>
      <w:r>
        <w:rPr>
          <w:rFonts w:ascii="宋体" w:hAnsi="宋体" w:hint="eastAsia"/>
          <w:sz w:val="24"/>
          <w:szCs w:val="24"/>
        </w:rPr>
        <w:t>所有董事均已出席了审议本次季报的董事会会议。</w:t>
      </w:r>
    </w:p>
    <w:p w:rsidR="006D5885" w:rsidRDefault="006D5885">
      <w:pPr>
        <w:spacing w:before="0" w:after="0" w:line="360" w:lineRule="auto"/>
        <w:ind w:firstLineChars="200" w:firstLine="480"/>
        <w:rPr>
          <w:rFonts w:cs="Times New Roman"/>
          <w:sz w:val="24"/>
          <w:szCs w:val="24"/>
        </w:rPr>
      </w:pPr>
      <w:r>
        <w:rPr>
          <w:rFonts w:ascii="宋体" w:hAnsi="宋体" w:hint="eastAsia"/>
          <w:sz w:val="24"/>
          <w:szCs w:val="24"/>
        </w:rPr>
        <w:t>公司负责人何锐驹、主管会计工作负责人徐化群及会计机构负责人刘晓可声明：保证季度报告中财务报表的真实、准确、完整。</w:t>
      </w:r>
    </w:p>
    <w:p w:rsidR="006D5885" w:rsidRDefault="006D5885" w:rsidP="003A7471">
      <w:pPr>
        <w:spacing w:before="100" w:after="100"/>
        <w:ind w:firstLineChars="200" w:firstLine="562"/>
        <w:rPr>
          <w:rFonts w:eastAsia="Times New Roman" w:cs="Times New Roman"/>
          <w:b/>
          <w:bCs/>
          <w:sz w:val="28"/>
          <w:szCs w:val="28"/>
        </w:rPr>
        <w:sectPr w:rsidR="006D5885">
          <w:headerReference w:type="default" r:id="rId11"/>
          <w:footerReference w:type="default" r:id="rId12"/>
          <w:pgSz w:w="11906" w:h="16838"/>
          <w:pgMar w:top="1440" w:right="1134" w:bottom="1440" w:left="1134" w:header="851" w:footer="992" w:gutter="0"/>
          <w:cols w:space="720"/>
          <w:docGrid w:type="lines" w:linePitch="312"/>
        </w:sectPr>
      </w:pPr>
    </w:p>
    <w:p w:rsidR="006D5885" w:rsidRDefault="006D5885">
      <w:pPr>
        <w:pStyle w:val="a3"/>
        <w:outlineLvl w:val="0"/>
        <w:rPr>
          <w:rFonts w:cs="Times New Roman"/>
          <w:sz w:val="44"/>
          <w:szCs w:val="44"/>
        </w:rPr>
      </w:pPr>
      <w:bookmarkStart w:id="2" w:name="_Toc300000085"/>
      <w:r>
        <w:rPr>
          <w:rFonts w:ascii="宋体" w:hAnsi="宋体" w:hint="eastAsia"/>
          <w:sz w:val="44"/>
          <w:szCs w:val="44"/>
        </w:rPr>
        <w:lastRenderedPageBreak/>
        <w:t>第二节</w:t>
      </w:r>
      <w:r>
        <w:rPr>
          <w:rFonts w:ascii="宋体" w:hAnsi="宋体"/>
          <w:sz w:val="44"/>
          <w:szCs w:val="44"/>
        </w:rPr>
        <w:t xml:space="preserve"> </w:t>
      </w:r>
      <w:r>
        <w:rPr>
          <w:rFonts w:ascii="宋体" w:hAnsi="宋体" w:hint="eastAsia"/>
          <w:sz w:val="44"/>
          <w:szCs w:val="44"/>
        </w:rPr>
        <w:t>公司基本情况</w:t>
      </w:r>
      <w:bookmarkEnd w:id="2"/>
    </w:p>
    <w:p w:rsidR="006D5885" w:rsidRDefault="006D5885">
      <w:pPr>
        <w:pStyle w:val="Chapter"/>
        <w:spacing w:before="0" w:after="0" w:line="360" w:lineRule="auto"/>
        <w:outlineLvl w:val="1"/>
        <w:rPr>
          <w:rFonts w:cs="Times New Roman"/>
        </w:rPr>
      </w:pPr>
      <w:r>
        <w:rPr>
          <w:rFonts w:ascii="宋体" w:hAnsi="宋体" w:hint="eastAsia"/>
        </w:rPr>
        <w:t>一、主要会计数据和财务指标</w:t>
      </w:r>
    </w:p>
    <w:p w:rsidR="006D5885" w:rsidRDefault="006D5885">
      <w:pPr>
        <w:spacing w:before="0" w:after="0" w:line="360" w:lineRule="auto"/>
        <w:rPr>
          <w:rFonts w:cs="Times New Roman"/>
          <w:sz w:val="24"/>
          <w:szCs w:val="24"/>
        </w:rPr>
      </w:pPr>
      <w:r>
        <w:rPr>
          <w:rFonts w:ascii="宋体" w:hAnsi="宋体" w:hint="eastAsia"/>
          <w:sz w:val="24"/>
          <w:szCs w:val="24"/>
        </w:rPr>
        <w:t>公司是否需追溯调整或重述以前年度会计数据</w:t>
      </w:r>
    </w:p>
    <w:p w:rsidR="006D5885" w:rsidRDefault="006D5885">
      <w:pPr>
        <w:spacing w:before="0" w:after="0" w:line="360" w:lineRule="auto"/>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是</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否</w:t>
      </w:r>
      <w:r>
        <w:rPr>
          <w:rFonts w:ascii="宋体" w:hAnsi="宋体"/>
          <w:sz w:val="24"/>
          <w:szCs w:val="24"/>
        </w:rPr>
        <w:t xml:space="preserve"> </w:t>
      </w:r>
    </w:p>
    <w:p w:rsidR="006D5885" w:rsidRDefault="006D5885">
      <w:pPr>
        <w:spacing w:before="0" w:after="0" w:line="360" w:lineRule="auto"/>
        <w:rPr>
          <w:rFonts w:cs="Times New Roman"/>
          <w:sz w:val="24"/>
          <w:szCs w:val="24"/>
        </w:rPr>
      </w:pPr>
      <w:r>
        <w:rPr>
          <w:rFonts w:ascii="宋体" w:hAnsi="宋体" w:hint="eastAsia"/>
          <w:sz w:val="24"/>
          <w:szCs w:val="24"/>
        </w:rPr>
        <w:t>追溯调整或重述原因</w:t>
      </w:r>
    </w:p>
    <w:p w:rsidR="006D5885" w:rsidRDefault="006D5885">
      <w:pPr>
        <w:spacing w:before="0" w:after="0" w:line="360" w:lineRule="auto"/>
        <w:rPr>
          <w:rFonts w:cs="Times New Roman"/>
          <w:sz w:val="24"/>
          <w:szCs w:val="24"/>
        </w:rPr>
      </w:pPr>
      <w:r>
        <w:rPr>
          <w:rFonts w:ascii="宋体" w:hAnsi="宋体" w:hint="eastAsia"/>
          <w:sz w:val="24"/>
          <w:szCs w:val="24"/>
        </w:rPr>
        <w:t>同一控制下企业合并</w:t>
      </w:r>
    </w:p>
    <w:tbl>
      <w:tblPr>
        <w:tblW w:w="0" w:type="auto"/>
        <w:jc w:val="center"/>
        <w:tblLayout w:type="fixed"/>
        <w:tblLook w:val="0000" w:firstRow="0" w:lastRow="0" w:firstColumn="0" w:lastColumn="0" w:noHBand="0" w:noVBand="0"/>
      </w:tblPr>
      <w:tblGrid>
        <w:gridCol w:w="2388"/>
        <w:gridCol w:w="2161"/>
        <w:gridCol w:w="2039"/>
        <w:gridCol w:w="2067"/>
        <w:gridCol w:w="1338"/>
      </w:tblGrid>
      <w:tr w:rsidR="006D5885">
        <w:trPr>
          <w:jc w:val="center"/>
        </w:trPr>
        <w:tc>
          <w:tcPr>
            <w:tcW w:w="238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p>
        </w:tc>
        <w:tc>
          <w:tcPr>
            <w:tcW w:w="216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本报告期末</w:t>
            </w:r>
          </w:p>
        </w:tc>
        <w:tc>
          <w:tcPr>
            <w:tcW w:w="410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上年度末</w:t>
            </w:r>
          </w:p>
        </w:tc>
        <w:tc>
          <w:tcPr>
            <w:tcW w:w="1338"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本报告期末比上年度末增减</w:t>
            </w:r>
          </w:p>
        </w:tc>
      </w:tr>
      <w:tr w:rsidR="006D5885">
        <w:trPr>
          <w:jc w:val="center"/>
        </w:trPr>
        <w:tc>
          <w:tcPr>
            <w:tcW w:w="2388" w:type="dxa"/>
            <w:vMerge/>
            <w:tcBorders>
              <w:top w:val="single" w:sz="4" w:space="0" w:color="auto"/>
              <w:left w:val="single" w:sz="4" w:space="0" w:color="auto"/>
              <w:bottom w:val="single" w:sz="4" w:space="0" w:color="auto"/>
              <w:right w:val="single" w:sz="4" w:space="0" w:color="auto"/>
            </w:tcBorders>
            <w:vAlign w:val="center"/>
          </w:tcPr>
          <w:p w:rsidR="006D5885" w:rsidRDefault="006D5885">
            <w:pPr>
              <w:jc w:val="center"/>
              <w:rPr>
                <w:rFonts w:cs="Times New Roman"/>
                <w:sz w:val="21"/>
                <w:szCs w:val="21"/>
              </w:rPr>
            </w:pPr>
          </w:p>
        </w:tc>
        <w:tc>
          <w:tcPr>
            <w:tcW w:w="2161" w:type="dxa"/>
            <w:vMerge/>
            <w:tcBorders>
              <w:top w:val="single" w:sz="4" w:space="0" w:color="auto"/>
              <w:left w:val="single" w:sz="4" w:space="0" w:color="auto"/>
              <w:bottom w:val="single" w:sz="4" w:space="0" w:color="auto"/>
              <w:right w:val="single" w:sz="4" w:space="0" w:color="auto"/>
            </w:tcBorders>
            <w:vAlign w:val="center"/>
          </w:tcPr>
          <w:p w:rsidR="006D5885" w:rsidRDefault="006D5885">
            <w:pPr>
              <w:jc w:val="center"/>
              <w:rPr>
                <w:rFonts w:cs="Times New Roman"/>
                <w:sz w:val="21"/>
                <w:szCs w:val="21"/>
              </w:rPr>
            </w:pPr>
          </w:p>
        </w:tc>
        <w:tc>
          <w:tcPr>
            <w:tcW w:w="2039"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调整前</w:t>
            </w:r>
          </w:p>
        </w:tc>
        <w:tc>
          <w:tcPr>
            <w:tcW w:w="2067"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调整后</w:t>
            </w:r>
          </w:p>
        </w:tc>
        <w:tc>
          <w:tcPr>
            <w:tcW w:w="1338"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调整后</w:t>
            </w:r>
          </w:p>
        </w:tc>
      </w:tr>
      <w:tr w:rsidR="006D5885">
        <w:trPr>
          <w:jc w:val="center"/>
        </w:trPr>
        <w:tc>
          <w:tcPr>
            <w:tcW w:w="2388"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sz w:val="21"/>
                <w:szCs w:val="21"/>
              </w:rPr>
            </w:pPr>
            <w:r>
              <w:rPr>
                <w:rFonts w:ascii="宋体" w:hAnsi="宋体" w:hint="eastAsia"/>
                <w:sz w:val="21"/>
                <w:szCs w:val="21"/>
              </w:rPr>
              <w:t>总资产（元）</w:t>
            </w:r>
          </w:p>
        </w:tc>
        <w:tc>
          <w:tcPr>
            <w:tcW w:w="2161" w:type="dxa"/>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17,171,009,300.74</w:t>
            </w:r>
          </w:p>
        </w:tc>
        <w:tc>
          <w:tcPr>
            <w:tcW w:w="203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center"/>
              <w:rPr>
                <w:rFonts w:ascii="宋体" w:hAnsi="宋体"/>
                <w:sz w:val="21"/>
                <w:szCs w:val="21"/>
              </w:rPr>
            </w:pPr>
            <w:r>
              <w:rPr>
                <w:rFonts w:ascii="宋体" w:hAnsi="宋体"/>
                <w:sz w:val="21"/>
                <w:szCs w:val="21"/>
              </w:rPr>
              <w:t>15,829,288,040.46</w:t>
            </w:r>
          </w:p>
        </w:tc>
        <w:tc>
          <w:tcPr>
            <w:tcW w:w="2067" w:type="dxa"/>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15,983,676,483.95</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7.43%</w:t>
            </w:r>
          </w:p>
        </w:tc>
      </w:tr>
      <w:tr w:rsidR="006D5885">
        <w:trPr>
          <w:jc w:val="center"/>
        </w:trPr>
        <w:tc>
          <w:tcPr>
            <w:tcW w:w="2388"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sz w:val="21"/>
                <w:szCs w:val="21"/>
              </w:rPr>
            </w:pPr>
            <w:r>
              <w:rPr>
                <w:rFonts w:ascii="宋体" w:hAnsi="宋体" w:hint="eastAsia"/>
                <w:sz w:val="21"/>
                <w:szCs w:val="21"/>
              </w:rPr>
              <w:t>归属于上市公司股东的净资产（元）</w:t>
            </w:r>
          </w:p>
        </w:tc>
        <w:tc>
          <w:tcPr>
            <w:tcW w:w="2161" w:type="dxa"/>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12,331,977,118.33</w:t>
            </w:r>
          </w:p>
        </w:tc>
        <w:tc>
          <w:tcPr>
            <w:tcW w:w="203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center"/>
              <w:rPr>
                <w:rFonts w:ascii="宋体" w:hAnsi="宋体"/>
                <w:sz w:val="21"/>
                <w:szCs w:val="21"/>
              </w:rPr>
            </w:pPr>
            <w:r>
              <w:rPr>
                <w:rFonts w:ascii="宋体" w:hAnsi="宋体"/>
                <w:sz w:val="21"/>
                <w:szCs w:val="21"/>
              </w:rPr>
              <w:t>12,015,744,546.97</w:t>
            </w:r>
          </w:p>
        </w:tc>
        <w:tc>
          <w:tcPr>
            <w:tcW w:w="2067" w:type="dxa"/>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12,091,612,827.23</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1.99%</w:t>
            </w:r>
          </w:p>
        </w:tc>
      </w:tr>
      <w:tr w:rsidR="006D5885">
        <w:trPr>
          <w:jc w:val="center"/>
        </w:trPr>
        <w:tc>
          <w:tcPr>
            <w:tcW w:w="2388"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sz w:val="21"/>
                <w:szCs w:val="21"/>
              </w:rPr>
            </w:pPr>
          </w:p>
        </w:tc>
        <w:tc>
          <w:tcPr>
            <w:tcW w:w="2161"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本报告期</w:t>
            </w:r>
          </w:p>
        </w:tc>
        <w:tc>
          <w:tcPr>
            <w:tcW w:w="2039"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本报告期比上年同期增减</w:t>
            </w:r>
          </w:p>
        </w:tc>
        <w:tc>
          <w:tcPr>
            <w:tcW w:w="2067"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年初至报告期末</w:t>
            </w:r>
          </w:p>
        </w:tc>
        <w:tc>
          <w:tcPr>
            <w:tcW w:w="1338"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年初至报告期末比上年同期增减</w:t>
            </w:r>
          </w:p>
        </w:tc>
      </w:tr>
      <w:tr w:rsidR="006D5885">
        <w:trPr>
          <w:jc w:val="center"/>
        </w:trPr>
        <w:tc>
          <w:tcPr>
            <w:tcW w:w="2388"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sz w:val="21"/>
                <w:szCs w:val="21"/>
              </w:rPr>
            </w:pPr>
            <w:r>
              <w:rPr>
                <w:rFonts w:ascii="宋体" w:hAnsi="宋体" w:hint="eastAsia"/>
                <w:sz w:val="21"/>
                <w:szCs w:val="21"/>
              </w:rPr>
              <w:t>营业收入（元）</w:t>
            </w:r>
          </w:p>
        </w:tc>
        <w:tc>
          <w:tcPr>
            <w:tcW w:w="2161" w:type="dxa"/>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499,166,183.01</w:t>
            </w:r>
          </w:p>
        </w:tc>
        <w:tc>
          <w:tcPr>
            <w:tcW w:w="203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7.94%</w:t>
            </w:r>
          </w:p>
        </w:tc>
        <w:tc>
          <w:tcPr>
            <w:tcW w:w="2067" w:type="dxa"/>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1,363,408,574.65</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11.62%</w:t>
            </w:r>
          </w:p>
        </w:tc>
      </w:tr>
      <w:tr w:rsidR="006D5885">
        <w:trPr>
          <w:jc w:val="center"/>
        </w:trPr>
        <w:tc>
          <w:tcPr>
            <w:tcW w:w="2388"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sz w:val="21"/>
                <w:szCs w:val="21"/>
              </w:rPr>
            </w:pPr>
            <w:r>
              <w:rPr>
                <w:rFonts w:ascii="宋体" w:hAnsi="宋体" w:hint="eastAsia"/>
                <w:sz w:val="21"/>
                <w:szCs w:val="21"/>
              </w:rPr>
              <w:t>归属于上市公司股东的净利润（元）</w:t>
            </w:r>
          </w:p>
        </w:tc>
        <w:tc>
          <w:tcPr>
            <w:tcW w:w="2161" w:type="dxa"/>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189,381,616.46</w:t>
            </w:r>
          </w:p>
        </w:tc>
        <w:tc>
          <w:tcPr>
            <w:tcW w:w="203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-35.83%</w:t>
            </w:r>
          </w:p>
        </w:tc>
        <w:tc>
          <w:tcPr>
            <w:tcW w:w="2067" w:type="dxa"/>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579,218,192.53</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-29.71%</w:t>
            </w:r>
          </w:p>
        </w:tc>
      </w:tr>
      <w:tr w:rsidR="006D5885">
        <w:trPr>
          <w:jc w:val="center"/>
        </w:trPr>
        <w:tc>
          <w:tcPr>
            <w:tcW w:w="2388"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sz w:val="21"/>
                <w:szCs w:val="21"/>
              </w:rPr>
            </w:pPr>
            <w:r>
              <w:rPr>
                <w:rFonts w:ascii="宋体" w:hAnsi="宋体" w:hint="eastAsia"/>
                <w:sz w:val="21"/>
                <w:szCs w:val="21"/>
              </w:rPr>
              <w:t>归属于上市公司股东的扣除非经常性损益的净利润（元）</w:t>
            </w: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181,256,732.09</w:t>
            </w:r>
          </w:p>
        </w:tc>
        <w:tc>
          <w:tcPr>
            <w:tcW w:w="203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-36.36%</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556,133,125.84</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-30.41%</w:t>
            </w:r>
          </w:p>
        </w:tc>
      </w:tr>
      <w:tr w:rsidR="006D5885">
        <w:trPr>
          <w:jc w:val="center"/>
        </w:trPr>
        <w:tc>
          <w:tcPr>
            <w:tcW w:w="2388"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sz w:val="21"/>
                <w:szCs w:val="21"/>
              </w:rPr>
            </w:pPr>
            <w:r>
              <w:rPr>
                <w:rFonts w:ascii="宋体" w:hAnsi="宋体" w:hint="eastAsia"/>
                <w:sz w:val="21"/>
                <w:szCs w:val="21"/>
              </w:rPr>
              <w:t>经营活动产生的现金流量净额（元）</w:t>
            </w:r>
          </w:p>
        </w:tc>
        <w:tc>
          <w:tcPr>
            <w:tcW w:w="2161"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cs="Times New Roman"/>
                <w:sz w:val="21"/>
                <w:szCs w:val="21"/>
              </w:rPr>
              <w:t>--</w:t>
            </w:r>
          </w:p>
        </w:tc>
        <w:tc>
          <w:tcPr>
            <w:tcW w:w="2039"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cs="Times New Roman"/>
                <w:sz w:val="21"/>
                <w:szCs w:val="21"/>
              </w:rPr>
              <w:t>--</w:t>
            </w:r>
          </w:p>
        </w:tc>
        <w:tc>
          <w:tcPr>
            <w:tcW w:w="2067" w:type="dxa"/>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375,169,723.83</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-3.07%</w:t>
            </w:r>
          </w:p>
        </w:tc>
      </w:tr>
      <w:tr w:rsidR="006D5885">
        <w:trPr>
          <w:jc w:val="center"/>
        </w:trPr>
        <w:tc>
          <w:tcPr>
            <w:tcW w:w="2388"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sz w:val="21"/>
                <w:szCs w:val="21"/>
              </w:rPr>
            </w:pPr>
            <w:r>
              <w:rPr>
                <w:rFonts w:ascii="宋体" w:hAnsi="宋体" w:hint="eastAsia"/>
                <w:sz w:val="21"/>
                <w:szCs w:val="21"/>
              </w:rPr>
              <w:t>基本每股收益（元</w:t>
            </w:r>
            <w:r>
              <w:rPr>
                <w:rFonts w:ascii="宋体" w:hAnsi="宋体"/>
                <w:sz w:val="21"/>
                <w:szCs w:val="21"/>
              </w:rPr>
              <w:t>/</w:t>
            </w:r>
            <w:r>
              <w:rPr>
                <w:rFonts w:ascii="宋体" w:hAnsi="宋体" w:hint="eastAsia"/>
                <w:sz w:val="21"/>
                <w:szCs w:val="21"/>
              </w:rPr>
              <w:t>股）</w:t>
            </w:r>
          </w:p>
        </w:tc>
        <w:tc>
          <w:tcPr>
            <w:tcW w:w="2161" w:type="dxa"/>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0.13</w:t>
            </w:r>
          </w:p>
        </w:tc>
        <w:tc>
          <w:tcPr>
            <w:tcW w:w="203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-35.83%</w:t>
            </w:r>
          </w:p>
        </w:tc>
        <w:tc>
          <w:tcPr>
            <w:tcW w:w="2067" w:type="dxa"/>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0.39</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-29.71%</w:t>
            </w:r>
          </w:p>
        </w:tc>
      </w:tr>
      <w:tr w:rsidR="006D5885">
        <w:trPr>
          <w:jc w:val="center"/>
        </w:trPr>
        <w:tc>
          <w:tcPr>
            <w:tcW w:w="2388"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sz w:val="21"/>
                <w:szCs w:val="21"/>
              </w:rPr>
            </w:pPr>
            <w:r>
              <w:rPr>
                <w:rFonts w:ascii="宋体" w:hAnsi="宋体" w:hint="eastAsia"/>
                <w:sz w:val="21"/>
                <w:szCs w:val="21"/>
              </w:rPr>
              <w:t>稀释每股收益（元</w:t>
            </w:r>
            <w:r>
              <w:rPr>
                <w:rFonts w:ascii="宋体" w:hAnsi="宋体"/>
                <w:sz w:val="21"/>
                <w:szCs w:val="21"/>
              </w:rPr>
              <w:t>/</w:t>
            </w:r>
            <w:r>
              <w:rPr>
                <w:rFonts w:ascii="宋体" w:hAnsi="宋体" w:hint="eastAsia"/>
                <w:sz w:val="21"/>
                <w:szCs w:val="21"/>
              </w:rPr>
              <w:t>股）</w:t>
            </w:r>
          </w:p>
        </w:tc>
        <w:tc>
          <w:tcPr>
            <w:tcW w:w="2161" w:type="dxa"/>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0.13</w:t>
            </w:r>
          </w:p>
        </w:tc>
        <w:tc>
          <w:tcPr>
            <w:tcW w:w="203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-35.83%</w:t>
            </w:r>
          </w:p>
        </w:tc>
        <w:tc>
          <w:tcPr>
            <w:tcW w:w="2067" w:type="dxa"/>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0.39</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-29.71%</w:t>
            </w:r>
          </w:p>
        </w:tc>
      </w:tr>
      <w:tr w:rsidR="006D5885">
        <w:trPr>
          <w:jc w:val="center"/>
        </w:trPr>
        <w:tc>
          <w:tcPr>
            <w:tcW w:w="2388"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sz w:val="21"/>
                <w:szCs w:val="21"/>
              </w:rPr>
            </w:pPr>
            <w:r>
              <w:rPr>
                <w:rFonts w:ascii="宋体" w:hAnsi="宋体" w:hint="eastAsia"/>
                <w:sz w:val="21"/>
                <w:szCs w:val="21"/>
              </w:rPr>
              <w:t>加权平均净资产收益率</w:t>
            </w: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1.57%</w:t>
            </w:r>
          </w:p>
        </w:tc>
        <w:tc>
          <w:tcPr>
            <w:tcW w:w="203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-0.93%</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4.75%</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-2.31%</w:t>
            </w:r>
          </w:p>
        </w:tc>
      </w:tr>
    </w:tbl>
    <w:p w:rsidR="006D5885" w:rsidRDefault="006D5885">
      <w:pPr>
        <w:spacing w:before="0" w:after="0" w:line="360" w:lineRule="auto"/>
        <w:rPr>
          <w:rFonts w:cs="Times New Roman"/>
          <w:sz w:val="24"/>
          <w:szCs w:val="24"/>
        </w:rPr>
      </w:pPr>
      <w:r>
        <w:rPr>
          <w:rFonts w:ascii="宋体" w:hAnsi="宋体" w:hint="eastAsia"/>
          <w:sz w:val="24"/>
          <w:szCs w:val="24"/>
        </w:rPr>
        <w:t>注：</w:t>
      </w:r>
    </w:p>
    <w:p w:rsidR="006D5885" w:rsidRDefault="006D5885">
      <w:pPr>
        <w:spacing w:before="0" w:after="0" w:line="360" w:lineRule="auto"/>
        <w:ind w:firstLineChars="200" w:firstLine="480"/>
        <w:rPr>
          <w:rFonts w:cs="Times New Roman"/>
          <w:sz w:val="24"/>
          <w:szCs w:val="24"/>
        </w:rPr>
      </w:pPr>
      <w:r>
        <w:rPr>
          <w:rFonts w:ascii="宋体" w:hAnsi="宋体"/>
          <w:sz w:val="24"/>
          <w:szCs w:val="24"/>
        </w:rPr>
        <w:t>2018</w:t>
      </w:r>
      <w:r>
        <w:rPr>
          <w:rFonts w:ascii="宋体" w:hAnsi="宋体" w:hint="eastAsia"/>
          <w:sz w:val="24"/>
          <w:szCs w:val="24"/>
        </w:rPr>
        <w:t>年</w:t>
      </w:r>
      <w:r>
        <w:rPr>
          <w:rFonts w:ascii="宋体" w:hAnsi="宋体"/>
          <w:sz w:val="24"/>
          <w:szCs w:val="24"/>
        </w:rPr>
        <w:t>8</w:t>
      </w:r>
      <w:r>
        <w:rPr>
          <w:rFonts w:ascii="宋体" w:hAnsi="宋体" w:hint="eastAsia"/>
          <w:sz w:val="24"/>
          <w:szCs w:val="24"/>
        </w:rPr>
        <w:t>月公司收购了广东名城环境科技股份有限公司，因公司与广东名城环境科技股份有限公司属同一控制人，所以按同一控制下企业合并，合并财务报表对广东名城环境科技股份有限公司的财务数据进行了追溯调整。</w:t>
      </w:r>
    </w:p>
    <w:p w:rsidR="006D5885" w:rsidRDefault="006D5885">
      <w:pPr>
        <w:spacing w:before="0" w:after="0" w:line="360" w:lineRule="auto"/>
        <w:ind w:firstLineChars="200" w:firstLine="480"/>
        <w:rPr>
          <w:rFonts w:cs="Times New Roman"/>
          <w:sz w:val="24"/>
          <w:szCs w:val="24"/>
        </w:rPr>
      </w:pPr>
      <w:r>
        <w:rPr>
          <w:rFonts w:ascii="宋体" w:hAnsi="宋体" w:hint="eastAsia"/>
          <w:sz w:val="24"/>
          <w:szCs w:val="24"/>
        </w:rPr>
        <w:t>根据财政部于</w:t>
      </w:r>
      <w:r>
        <w:rPr>
          <w:rFonts w:ascii="宋体" w:hAnsi="宋体"/>
          <w:sz w:val="24"/>
          <w:szCs w:val="24"/>
        </w:rPr>
        <w:t>2018</w:t>
      </w:r>
      <w:r>
        <w:rPr>
          <w:rFonts w:ascii="宋体" w:hAnsi="宋体" w:hint="eastAsia"/>
          <w:sz w:val="24"/>
          <w:szCs w:val="24"/>
        </w:rPr>
        <w:t>年</w:t>
      </w:r>
      <w:r>
        <w:rPr>
          <w:rFonts w:ascii="宋体" w:hAnsi="宋体"/>
          <w:sz w:val="24"/>
          <w:szCs w:val="24"/>
        </w:rPr>
        <w:t>6</w:t>
      </w:r>
      <w:r>
        <w:rPr>
          <w:rFonts w:ascii="宋体" w:hAnsi="宋体" w:hint="eastAsia"/>
          <w:sz w:val="24"/>
          <w:szCs w:val="24"/>
        </w:rPr>
        <w:t>月</w:t>
      </w:r>
      <w:r>
        <w:rPr>
          <w:rFonts w:ascii="宋体" w:hAnsi="宋体"/>
          <w:sz w:val="24"/>
          <w:szCs w:val="24"/>
        </w:rPr>
        <w:t>15</w:t>
      </w:r>
      <w:r>
        <w:rPr>
          <w:rFonts w:ascii="宋体" w:hAnsi="宋体" w:hint="eastAsia"/>
          <w:sz w:val="24"/>
          <w:szCs w:val="24"/>
        </w:rPr>
        <w:t>日发布的《关于修订印发</w:t>
      </w:r>
      <w:r>
        <w:rPr>
          <w:rFonts w:ascii="宋体" w:hAnsi="宋体"/>
          <w:sz w:val="24"/>
          <w:szCs w:val="24"/>
        </w:rPr>
        <w:t xml:space="preserve">2018 </w:t>
      </w:r>
      <w:r>
        <w:rPr>
          <w:rFonts w:ascii="宋体" w:hAnsi="宋体" w:hint="eastAsia"/>
          <w:sz w:val="24"/>
          <w:szCs w:val="24"/>
        </w:rPr>
        <w:t>年度一般企业财务报表格式的通知》（财会〔</w:t>
      </w:r>
      <w:r>
        <w:rPr>
          <w:rFonts w:ascii="宋体" w:hAnsi="宋体"/>
          <w:sz w:val="24"/>
          <w:szCs w:val="24"/>
        </w:rPr>
        <w:t>2018</w:t>
      </w:r>
      <w:r>
        <w:rPr>
          <w:rFonts w:ascii="宋体" w:hAnsi="宋体" w:hint="eastAsia"/>
          <w:sz w:val="24"/>
          <w:szCs w:val="24"/>
        </w:rPr>
        <w:t>〕</w:t>
      </w:r>
      <w:r>
        <w:rPr>
          <w:rFonts w:ascii="宋体" w:hAnsi="宋体"/>
          <w:sz w:val="24"/>
          <w:szCs w:val="24"/>
        </w:rPr>
        <w:t xml:space="preserve">15 </w:t>
      </w:r>
      <w:r>
        <w:rPr>
          <w:rFonts w:ascii="宋体" w:hAnsi="宋体" w:hint="eastAsia"/>
          <w:sz w:val="24"/>
          <w:szCs w:val="24"/>
        </w:rPr>
        <w:t>号）的规定和要求，公司对会计报表列报的会计政策进行了相应的变更，并对可比会计期间的比较数据进行了相应调整。本次会计政策变更只涉及财务报表列报和调整。不会对公司资产总额、负债总额、净资产、营业收入、净利润产生影响。</w:t>
      </w:r>
    </w:p>
    <w:p w:rsidR="006D5885" w:rsidRDefault="006D5885">
      <w:pPr>
        <w:spacing w:before="0" w:after="0" w:line="360" w:lineRule="auto"/>
        <w:ind w:firstLineChars="200" w:firstLine="480"/>
        <w:rPr>
          <w:rFonts w:cs="Times New Roman"/>
          <w:sz w:val="24"/>
          <w:szCs w:val="24"/>
        </w:rPr>
      </w:pPr>
      <w:r>
        <w:rPr>
          <w:rFonts w:ascii="宋体" w:hAnsi="宋体" w:hint="eastAsia"/>
          <w:sz w:val="24"/>
          <w:szCs w:val="24"/>
        </w:rPr>
        <w:t>上表中上年度末调整前的“总资产”以及“归属于上市公司股东的净资产”根据广发证券会计政策变更进行了调整，具体原因详见第三节重要事项十一、其他重大事项的说明。</w:t>
      </w:r>
    </w:p>
    <w:p w:rsidR="006D5885" w:rsidRDefault="006D5885">
      <w:pPr>
        <w:spacing w:before="0" w:after="0" w:line="360" w:lineRule="auto"/>
        <w:rPr>
          <w:rFonts w:cs="Times New Roman"/>
          <w:sz w:val="24"/>
          <w:szCs w:val="24"/>
        </w:rPr>
      </w:pPr>
      <w:r>
        <w:rPr>
          <w:rFonts w:ascii="宋体" w:hAnsi="宋体" w:hint="eastAsia"/>
          <w:sz w:val="24"/>
          <w:szCs w:val="24"/>
        </w:rPr>
        <w:t>非经常性损益项目和金额</w:t>
      </w:r>
    </w:p>
    <w:p w:rsidR="006D5885" w:rsidRDefault="006D5885">
      <w:pPr>
        <w:spacing w:before="0" w:after="0" w:line="360" w:lineRule="auto"/>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适用</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不适用</w:t>
      </w:r>
      <w:r>
        <w:rPr>
          <w:rFonts w:ascii="宋体" w:hAnsi="宋体"/>
          <w:sz w:val="24"/>
          <w:szCs w:val="24"/>
        </w:rPr>
        <w:t xml:space="preserve"> </w:t>
      </w:r>
    </w:p>
    <w:p w:rsidR="006D5885" w:rsidRDefault="006D5885">
      <w:pPr>
        <w:spacing w:before="0" w:after="0" w:line="360" w:lineRule="auto"/>
        <w:jc w:val="right"/>
        <w:rPr>
          <w:rFonts w:eastAsia="Times New Roman" w:cs="Times New Roman"/>
          <w:sz w:val="24"/>
          <w:szCs w:val="24"/>
        </w:rPr>
      </w:pPr>
      <w:r>
        <w:rPr>
          <w:rFonts w:hint="eastAsia"/>
          <w:sz w:val="24"/>
          <w:szCs w:val="24"/>
        </w:rPr>
        <w:t>单位：元</w:t>
      </w:r>
    </w:p>
    <w:tbl>
      <w:tblPr>
        <w:tblW w:w="0" w:type="auto"/>
        <w:jc w:val="center"/>
        <w:tblLayout w:type="fixed"/>
        <w:tblLook w:val="0000" w:firstRow="0" w:lastRow="0" w:firstColumn="0" w:lastColumn="0" w:noHBand="0" w:noVBand="0"/>
      </w:tblPr>
      <w:tblGrid>
        <w:gridCol w:w="4832"/>
        <w:gridCol w:w="2230"/>
        <w:gridCol w:w="2506"/>
      </w:tblGrid>
      <w:tr w:rsidR="006D5885">
        <w:trPr>
          <w:jc w:val="center"/>
        </w:trPr>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项目</w:t>
            </w:r>
          </w:p>
        </w:tc>
        <w:tc>
          <w:tcPr>
            <w:tcW w:w="2230"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年初至报告期期末金额</w:t>
            </w:r>
          </w:p>
        </w:tc>
        <w:tc>
          <w:tcPr>
            <w:tcW w:w="2506"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说明</w:t>
            </w:r>
          </w:p>
        </w:tc>
      </w:tr>
      <w:tr w:rsidR="006D5885">
        <w:trPr>
          <w:jc w:val="center"/>
        </w:trPr>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sz w:val="21"/>
                <w:szCs w:val="21"/>
              </w:rPr>
            </w:pPr>
            <w:r>
              <w:rPr>
                <w:rFonts w:ascii="宋体" w:hAnsi="宋体" w:hint="eastAsia"/>
                <w:sz w:val="21"/>
                <w:szCs w:val="21"/>
              </w:rPr>
              <w:t>非流动资产处置损益（包括已计提资产减值准备的冲销部分）</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-87,397.44</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主要是固定资产处置损失</w:t>
            </w:r>
          </w:p>
        </w:tc>
      </w:tr>
      <w:tr w:rsidR="006D5885">
        <w:trPr>
          <w:jc w:val="center"/>
        </w:trPr>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sz w:val="21"/>
                <w:szCs w:val="21"/>
              </w:rPr>
            </w:pPr>
            <w:r>
              <w:rPr>
                <w:rFonts w:ascii="宋体" w:hAnsi="宋体" w:hint="eastAsia"/>
                <w:sz w:val="21"/>
                <w:szCs w:val="21"/>
              </w:rPr>
              <w:t>计入当期损益的政府补助（与企业业务密切相关，按照国家统一标准定额或定量享受的政府补助除外）</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16,511,051.93</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主要是政府补助</w:t>
            </w:r>
          </w:p>
        </w:tc>
      </w:tr>
      <w:tr w:rsidR="006D5885">
        <w:trPr>
          <w:jc w:val="center"/>
        </w:trPr>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sz w:val="21"/>
                <w:szCs w:val="21"/>
              </w:rPr>
            </w:pPr>
            <w:r>
              <w:rPr>
                <w:rFonts w:ascii="宋体" w:hAnsi="宋体" w:hint="eastAsia"/>
                <w:sz w:val="21"/>
                <w:szCs w:val="21"/>
              </w:rPr>
              <w:t>计入当期损益的对非金融企业收取的资金占用费</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1,302,017.56</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cs="Times New Roman"/>
                <w:sz w:val="21"/>
                <w:szCs w:val="21"/>
              </w:rPr>
              <w:t>-</w:t>
            </w:r>
          </w:p>
        </w:tc>
      </w:tr>
      <w:tr w:rsidR="006D5885">
        <w:trPr>
          <w:jc w:val="center"/>
        </w:trPr>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sz w:val="21"/>
                <w:szCs w:val="21"/>
              </w:rPr>
            </w:pPr>
            <w:r>
              <w:rPr>
                <w:rFonts w:ascii="宋体" w:hAnsi="宋体" w:hint="eastAsia"/>
                <w:sz w:val="21"/>
                <w:szCs w:val="21"/>
              </w:rPr>
              <w:t>同一控制下企业合并产生的子公司期初至合并日的当期净损益</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6,312,366.16</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cs="Times New Roman"/>
                <w:sz w:val="21"/>
                <w:szCs w:val="21"/>
              </w:rPr>
              <w:t>-</w:t>
            </w:r>
          </w:p>
        </w:tc>
      </w:tr>
      <w:tr w:rsidR="006D5885">
        <w:trPr>
          <w:jc w:val="center"/>
        </w:trPr>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sz w:val="21"/>
                <w:szCs w:val="21"/>
              </w:rPr>
            </w:pPr>
            <w:r>
              <w:rPr>
                <w:rFonts w:ascii="宋体" w:hAnsi="宋体" w:hint="eastAsia"/>
                <w:sz w:val="21"/>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137,296.10</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cs="Times New Roman"/>
                <w:sz w:val="21"/>
                <w:szCs w:val="21"/>
              </w:rPr>
              <w:t>-</w:t>
            </w:r>
          </w:p>
        </w:tc>
      </w:tr>
      <w:tr w:rsidR="006D5885">
        <w:trPr>
          <w:jc w:val="center"/>
        </w:trPr>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sz w:val="21"/>
                <w:szCs w:val="21"/>
              </w:rPr>
            </w:pPr>
            <w:r>
              <w:rPr>
                <w:rFonts w:ascii="宋体" w:hAnsi="宋体" w:hint="eastAsia"/>
                <w:sz w:val="21"/>
                <w:szCs w:val="21"/>
              </w:rPr>
              <w:t>除上述各项之外的其他营业外收入和支出</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-4,774,466.75</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cs="Times New Roman"/>
                <w:sz w:val="21"/>
                <w:szCs w:val="21"/>
              </w:rPr>
              <w:t>-</w:t>
            </w:r>
          </w:p>
        </w:tc>
      </w:tr>
      <w:tr w:rsidR="006D5885">
        <w:trPr>
          <w:jc w:val="center"/>
        </w:trPr>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sz w:val="21"/>
                <w:szCs w:val="21"/>
              </w:rPr>
            </w:pPr>
            <w:r>
              <w:rPr>
                <w:rFonts w:ascii="宋体" w:hAnsi="宋体" w:hint="eastAsia"/>
                <w:sz w:val="21"/>
                <w:szCs w:val="21"/>
              </w:rPr>
              <w:t>其他符合非经常性损益定义的损益项目</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13,827,634.26</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主要是理财收益</w:t>
            </w:r>
          </w:p>
        </w:tc>
      </w:tr>
      <w:tr w:rsidR="006D5885">
        <w:trPr>
          <w:jc w:val="center"/>
        </w:trPr>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sz w:val="21"/>
                <w:szCs w:val="21"/>
              </w:rPr>
            </w:pPr>
            <w:r>
              <w:rPr>
                <w:rFonts w:ascii="宋体" w:hAnsi="宋体" w:hint="eastAsia"/>
                <w:sz w:val="21"/>
                <w:szCs w:val="21"/>
              </w:rPr>
              <w:t>减：所得税影响额</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6,729,033.92</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cs="Times New Roman"/>
                <w:sz w:val="21"/>
                <w:szCs w:val="21"/>
              </w:rPr>
              <w:t>-</w:t>
            </w:r>
          </w:p>
        </w:tc>
      </w:tr>
      <w:tr w:rsidR="006D5885">
        <w:trPr>
          <w:jc w:val="center"/>
        </w:trPr>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sz w:val="21"/>
                <w:szCs w:val="21"/>
              </w:rPr>
            </w:pPr>
            <w:r>
              <w:rPr>
                <w:rFonts w:ascii="宋体" w:hAnsi="宋体" w:hint="eastAsia"/>
                <w:sz w:val="21"/>
                <w:szCs w:val="21"/>
              </w:rPr>
              <w:t xml:space="preserve">　　少数股东权益影响额（税后）</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3,414,401.21</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cs="Times New Roman"/>
                <w:sz w:val="21"/>
                <w:szCs w:val="21"/>
              </w:rPr>
              <w:t>-</w:t>
            </w:r>
          </w:p>
        </w:tc>
      </w:tr>
      <w:tr w:rsidR="006D5885">
        <w:trPr>
          <w:jc w:val="center"/>
        </w:trPr>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sz w:val="21"/>
                <w:szCs w:val="21"/>
              </w:rPr>
            </w:pPr>
            <w:r>
              <w:rPr>
                <w:rFonts w:ascii="宋体" w:hAnsi="宋体" w:hint="eastAsia"/>
                <w:sz w:val="21"/>
                <w:szCs w:val="21"/>
              </w:rPr>
              <w:t>合计</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23,085,066.69</w:t>
            </w:r>
          </w:p>
        </w:tc>
        <w:tc>
          <w:tcPr>
            <w:tcW w:w="2506"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cs="Times New Roman"/>
                <w:sz w:val="21"/>
                <w:szCs w:val="21"/>
              </w:rPr>
              <w:t>--</w:t>
            </w:r>
          </w:p>
        </w:tc>
      </w:tr>
    </w:tbl>
    <w:p w:rsidR="006D5885" w:rsidRDefault="006D5885">
      <w:pPr>
        <w:spacing w:before="0" w:after="0" w:line="360" w:lineRule="auto"/>
        <w:rPr>
          <w:rFonts w:cs="Times New Roman"/>
          <w:sz w:val="24"/>
          <w:szCs w:val="24"/>
        </w:rPr>
      </w:pPr>
      <w:r>
        <w:rPr>
          <w:rFonts w:ascii="宋体" w:hAnsi="宋体" w:hint="eastAsia"/>
          <w:sz w:val="24"/>
          <w:szCs w:val="24"/>
        </w:rPr>
        <w:t>对公司根据《公开发行证券的公司信息披露解释性公告第</w:t>
      </w:r>
      <w:r>
        <w:rPr>
          <w:rFonts w:ascii="宋体" w:hAnsi="宋体"/>
          <w:sz w:val="24"/>
          <w:szCs w:val="24"/>
        </w:rPr>
        <w:t>1</w:t>
      </w:r>
      <w:r>
        <w:rPr>
          <w:rFonts w:ascii="宋体" w:hAnsi="宋体" w:hint="eastAsia"/>
          <w:sz w:val="24"/>
          <w:szCs w:val="24"/>
        </w:rPr>
        <w:t>号</w:t>
      </w:r>
      <w:r>
        <w:rPr>
          <w:rFonts w:ascii="宋体" w:hAnsi="宋体"/>
          <w:sz w:val="24"/>
          <w:szCs w:val="24"/>
        </w:rPr>
        <w:t>——</w:t>
      </w:r>
      <w:r>
        <w:rPr>
          <w:rFonts w:ascii="宋体" w:hAnsi="宋体" w:hint="eastAsia"/>
          <w:sz w:val="24"/>
          <w:szCs w:val="24"/>
        </w:rPr>
        <w:t>非经常性损益》定义界定的非经常性损益项目，以及把《公开发行证券的公司信息披露解释性公告第</w:t>
      </w:r>
      <w:r>
        <w:rPr>
          <w:rFonts w:ascii="宋体" w:hAnsi="宋体"/>
          <w:sz w:val="24"/>
          <w:szCs w:val="24"/>
        </w:rPr>
        <w:t>1</w:t>
      </w:r>
      <w:r>
        <w:rPr>
          <w:rFonts w:ascii="宋体" w:hAnsi="宋体" w:hint="eastAsia"/>
          <w:sz w:val="24"/>
          <w:szCs w:val="24"/>
        </w:rPr>
        <w:t>号</w:t>
      </w:r>
      <w:r>
        <w:rPr>
          <w:rFonts w:ascii="宋体" w:hAnsi="宋体"/>
          <w:sz w:val="24"/>
          <w:szCs w:val="24"/>
        </w:rPr>
        <w:t>——</w:t>
      </w:r>
      <w:r>
        <w:rPr>
          <w:rFonts w:ascii="宋体" w:hAnsi="宋体" w:hint="eastAsia"/>
          <w:sz w:val="24"/>
          <w:szCs w:val="24"/>
        </w:rPr>
        <w:t>非经常性损益》中列举的非经常性损益项目界定为经常性损益的项目，应说明原因</w:t>
      </w:r>
    </w:p>
    <w:p w:rsidR="006D5885" w:rsidRDefault="006D5885">
      <w:pPr>
        <w:spacing w:before="0" w:after="0" w:line="360" w:lineRule="auto"/>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适用</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不适用</w:t>
      </w:r>
      <w:r>
        <w:rPr>
          <w:rFonts w:ascii="宋体" w:hAnsi="宋体"/>
          <w:sz w:val="24"/>
          <w:szCs w:val="24"/>
        </w:rPr>
        <w:t xml:space="preserve"> </w:t>
      </w:r>
    </w:p>
    <w:p w:rsidR="006D5885" w:rsidRDefault="006D5885">
      <w:pPr>
        <w:spacing w:before="0" w:after="0" w:line="360" w:lineRule="auto"/>
        <w:rPr>
          <w:rFonts w:cs="Times New Roman"/>
          <w:sz w:val="24"/>
          <w:szCs w:val="24"/>
        </w:rPr>
      </w:pPr>
      <w:r>
        <w:rPr>
          <w:rFonts w:ascii="宋体" w:hAnsi="宋体" w:hint="eastAsia"/>
          <w:sz w:val="24"/>
          <w:szCs w:val="24"/>
        </w:rPr>
        <w:t>公司报告期不存在将根据《公开发行证券的公司信息披露解释性公告第</w:t>
      </w:r>
      <w:r>
        <w:rPr>
          <w:rFonts w:ascii="宋体" w:hAnsi="宋体"/>
          <w:sz w:val="24"/>
          <w:szCs w:val="24"/>
        </w:rPr>
        <w:t>1</w:t>
      </w:r>
      <w:r>
        <w:rPr>
          <w:rFonts w:ascii="宋体" w:hAnsi="宋体" w:hint="eastAsia"/>
          <w:sz w:val="24"/>
          <w:szCs w:val="24"/>
        </w:rPr>
        <w:t>号</w:t>
      </w:r>
      <w:r>
        <w:rPr>
          <w:rFonts w:ascii="宋体" w:hAnsi="宋体"/>
          <w:sz w:val="24"/>
          <w:szCs w:val="24"/>
        </w:rPr>
        <w:t>——</w:t>
      </w:r>
      <w:r>
        <w:rPr>
          <w:rFonts w:ascii="宋体" w:hAnsi="宋体" w:hint="eastAsia"/>
          <w:sz w:val="24"/>
          <w:szCs w:val="24"/>
        </w:rPr>
        <w:t>非经常性损益》定义、列举的非经常性损益项目界定为经常性损益的项目的情形。</w:t>
      </w:r>
    </w:p>
    <w:p w:rsidR="006D5885" w:rsidRDefault="006D5885">
      <w:pPr>
        <w:pStyle w:val="Chapter"/>
        <w:spacing w:before="0" w:after="0" w:line="360" w:lineRule="auto"/>
        <w:outlineLvl w:val="1"/>
        <w:rPr>
          <w:rFonts w:cs="Times New Roman"/>
        </w:rPr>
      </w:pPr>
      <w:r>
        <w:rPr>
          <w:rFonts w:ascii="宋体" w:hAnsi="宋体" w:hint="eastAsia"/>
        </w:rPr>
        <w:t>二、报告期末股东总数及前十名股东持股情况表</w:t>
      </w:r>
    </w:p>
    <w:p w:rsidR="006D5885" w:rsidRDefault="006D5885">
      <w:pPr>
        <w:pStyle w:val="Chapter"/>
        <w:spacing w:before="0" w:after="0" w:line="360" w:lineRule="auto"/>
        <w:outlineLvl w:val="1"/>
        <w:rPr>
          <w:rFonts w:cs="Times New Roman"/>
        </w:rPr>
      </w:pPr>
      <w:r>
        <w:rPr>
          <w:rFonts w:ascii="宋体" w:hAnsi="宋体"/>
        </w:rPr>
        <w:t>1</w:t>
      </w:r>
      <w:r>
        <w:rPr>
          <w:rFonts w:ascii="宋体" w:hAnsi="宋体" w:hint="eastAsia"/>
        </w:rPr>
        <w:t>、普通股股东和表决权恢复的优先股股东总数及前</w:t>
      </w:r>
      <w:r>
        <w:rPr>
          <w:rFonts w:ascii="宋体" w:hAnsi="宋体"/>
        </w:rPr>
        <w:t>10</w:t>
      </w:r>
      <w:r>
        <w:rPr>
          <w:rFonts w:ascii="宋体" w:hAnsi="宋体" w:hint="eastAsia"/>
        </w:rPr>
        <w:t>名股东持股情况表</w:t>
      </w:r>
    </w:p>
    <w:p w:rsidR="006D5885" w:rsidRDefault="006D5885">
      <w:pPr>
        <w:spacing w:before="0" w:after="0" w:line="360" w:lineRule="auto"/>
        <w:jc w:val="right"/>
        <w:rPr>
          <w:rFonts w:eastAsia="Times New Roman" w:cs="Times New Roman"/>
          <w:sz w:val="24"/>
          <w:szCs w:val="24"/>
        </w:rPr>
      </w:pPr>
      <w:r>
        <w:rPr>
          <w:rFonts w:hint="eastAsia"/>
          <w:sz w:val="24"/>
          <w:szCs w:val="24"/>
        </w:rPr>
        <w:t>单位：股</w:t>
      </w:r>
    </w:p>
    <w:tbl>
      <w:tblPr>
        <w:tblW w:w="0" w:type="auto"/>
        <w:jc w:val="center"/>
        <w:tblLayout w:type="fixed"/>
        <w:tblLook w:val="0000" w:firstRow="0" w:lastRow="0" w:firstColumn="0" w:lastColumn="0" w:noHBand="0" w:noVBand="0"/>
      </w:tblPr>
      <w:tblGrid>
        <w:gridCol w:w="1751"/>
        <w:gridCol w:w="1849"/>
        <w:gridCol w:w="881"/>
        <w:gridCol w:w="683"/>
        <w:gridCol w:w="742"/>
        <w:gridCol w:w="1440"/>
        <w:gridCol w:w="98"/>
        <w:gridCol w:w="1405"/>
        <w:gridCol w:w="1386"/>
      </w:tblGrid>
      <w:tr w:rsidR="006D5885">
        <w:trPr>
          <w:jc w:val="center"/>
        </w:trPr>
        <w:tc>
          <w:tcPr>
            <w:tcW w:w="360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sz w:val="21"/>
                <w:szCs w:val="21"/>
              </w:rPr>
            </w:pPr>
            <w:r>
              <w:rPr>
                <w:rFonts w:ascii="宋体" w:hAnsi="宋体" w:hint="eastAsia"/>
                <w:sz w:val="21"/>
                <w:szCs w:val="21"/>
              </w:rPr>
              <w:t>报告期末普通股股东总数</w:t>
            </w:r>
          </w:p>
        </w:tc>
        <w:tc>
          <w:tcPr>
            <w:tcW w:w="15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47,659</w:t>
            </w:r>
          </w:p>
        </w:tc>
        <w:tc>
          <w:tcPr>
            <w:tcW w:w="2280"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sz w:val="21"/>
                <w:szCs w:val="21"/>
              </w:rPr>
            </w:pPr>
            <w:r>
              <w:rPr>
                <w:rFonts w:ascii="宋体" w:hAnsi="宋体" w:hint="eastAsia"/>
                <w:sz w:val="21"/>
                <w:szCs w:val="21"/>
              </w:rPr>
              <w:t>报告期末表决权恢复的优先股股东总数</w:t>
            </w:r>
          </w:p>
        </w:tc>
        <w:tc>
          <w:tcPr>
            <w:tcW w:w="27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sz w:val="21"/>
                <w:szCs w:val="21"/>
              </w:rPr>
            </w:pPr>
            <w:r>
              <w:rPr>
                <w:rFonts w:cs="Times New Roman"/>
                <w:sz w:val="21"/>
                <w:szCs w:val="21"/>
              </w:rPr>
              <w:t>0</w:t>
            </w:r>
          </w:p>
        </w:tc>
      </w:tr>
      <w:tr w:rsidR="006D5885">
        <w:trPr>
          <w:jc w:val="center"/>
        </w:trPr>
        <w:tc>
          <w:tcPr>
            <w:tcW w:w="10235" w:type="dxa"/>
            <w:gridSpan w:val="9"/>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前</w:t>
            </w:r>
            <w:r>
              <w:rPr>
                <w:rFonts w:ascii="宋体" w:hAnsi="宋体"/>
                <w:sz w:val="21"/>
                <w:szCs w:val="21"/>
              </w:rPr>
              <w:t>10</w:t>
            </w:r>
            <w:r>
              <w:rPr>
                <w:rFonts w:ascii="宋体" w:hAnsi="宋体" w:hint="eastAsia"/>
                <w:sz w:val="21"/>
                <w:szCs w:val="21"/>
              </w:rPr>
              <w:t>名股东持股情况</w:t>
            </w:r>
          </w:p>
        </w:tc>
      </w:tr>
      <w:tr w:rsidR="006D5885">
        <w:trPr>
          <w:jc w:val="center"/>
        </w:trPr>
        <w:tc>
          <w:tcPr>
            <w:tcW w:w="175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股东名称</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股东性质</w:t>
            </w:r>
          </w:p>
        </w:tc>
        <w:tc>
          <w:tcPr>
            <w:tcW w:w="88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持股比例</w:t>
            </w: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持股数量</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持有有限售条件的股份数量</w:t>
            </w:r>
          </w:p>
        </w:tc>
        <w:tc>
          <w:tcPr>
            <w:tcW w:w="2889"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质押或冻结情况</w:t>
            </w:r>
          </w:p>
        </w:tc>
      </w:tr>
      <w:tr w:rsidR="006D5885">
        <w:trPr>
          <w:jc w:val="center"/>
        </w:trPr>
        <w:tc>
          <w:tcPr>
            <w:tcW w:w="1751" w:type="dxa"/>
            <w:vMerge/>
            <w:tcBorders>
              <w:top w:val="single" w:sz="4" w:space="0" w:color="auto"/>
              <w:left w:val="single" w:sz="4" w:space="0" w:color="auto"/>
              <w:bottom w:val="single" w:sz="4" w:space="0" w:color="auto"/>
              <w:right w:val="single" w:sz="4" w:space="0" w:color="auto"/>
            </w:tcBorders>
            <w:vAlign w:val="center"/>
          </w:tcPr>
          <w:p w:rsidR="006D5885" w:rsidRDefault="006D5885">
            <w:pPr>
              <w:jc w:val="center"/>
              <w:rPr>
                <w:rFonts w:cs="Times New Roman"/>
                <w:sz w:val="21"/>
                <w:szCs w:val="21"/>
              </w:rPr>
            </w:pPr>
          </w:p>
        </w:tc>
        <w:tc>
          <w:tcPr>
            <w:tcW w:w="1849" w:type="dxa"/>
            <w:vMerge/>
            <w:tcBorders>
              <w:top w:val="single" w:sz="4" w:space="0" w:color="auto"/>
              <w:left w:val="single" w:sz="4" w:space="0" w:color="auto"/>
              <w:bottom w:val="single" w:sz="4" w:space="0" w:color="auto"/>
              <w:right w:val="single" w:sz="4" w:space="0" w:color="auto"/>
            </w:tcBorders>
            <w:vAlign w:val="center"/>
          </w:tcPr>
          <w:p w:rsidR="006D5885" w:rsidRDefault="006D5885">
            <w:pPr>
              <w:jc w:val="center"/>
              <w:rPr>
                <w:rFonts w:cs="Times New Roman"/>
                <w:sz w:val="21"/>
                <w:szCs w:val="21"/>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6D5885" w:rsidRDefault="006D5885">
            <w:pPr>
              <w:jc w:val="center"/>
              <w:rPr>
                <w:rFonts w:cs="Times New Roman"/>
                <w:sz w:val="21"/>
                <w:szCs w:val="21"/>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tcPr>
          <w:p w:rsidR="006D5885" w:rsidRDefault="006D5885">
            <w:pPr>
              <w:jc w:val="center"/>
              <w:rPr>
                <w:rFonts w:cs="Times New Roman"/>
                <w:sz w:val="21"/>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6D5885" w:rsidRDefault="006D5885">
            <w:pPr>
              <w:jc w:val="center"/>
              <w:rPr>
                <w:rFonts w:cs="Times New Roman"/>
                <w:sz w:val="21"/>
                <w:szCs w:val="21"/>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股份状态</w:t>
            </w:r>
          </w:p>
        </w:tc>
        <w:tc>
          <w:tcPr>
            <w:tcW w:w="1386"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数量</w:t>
            </w:r>
          </w:p>
        </w:tc>
      </w:tr>
      <w:tr w:rsidR="006D5885">
        <w:trPr>
          <w:jc w:val="center"/>
        </w:trPr>
        <w:tc>
          <w:tcPr>
            <w:tcW w:w="1751"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r>
              <w:rPr>
                <w:rFonts w:ascii="宋体" w:hAnsi="宋体" w:hint="eastAsia"/>
                <w:sz w:val="21"/>
                <w:szCs w:val="21"/>
              </w:rPr>
              <w:t>中山中汇投资集团有限公司</w:t>
            </w:r>
          </w:p>
        </w:tc>
        <w:tc>
          <w:tcPr>
            <w:tcW w:w="1849"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r>
              <w:rPr>
                <w:rFonts w:ascii="宋体" w:hAnsi="宋体" w:hint="eastAsia"/>
                <w:sz w:val="21"/>
                <w:szCs w:val="21"/>
              </w:rPr>
              <w:t>国有法人</w:t>
            </w:r>
          </w:p>
        </w:tc>
        <w:tc>
          <w:tcPr>
            <w:tcW w:w="881"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47.98%</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707,747,250</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216,675,767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w:t>
            </w:r>
          </w:p>
        </w:tc>
        <w:tc>
          <w:tcPr>
            <w:tcW w:w="138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w:t>
            </w:r>
          </w:p>
        </w:tc>
      </w:tr>
      <w:tr w:rsidR="006D5885">
        <w:trPr>
          <w:jc w:val="center"/>
        </w:trPr>
        <w:tc>
          <w:tcPr>
            <w:tcW w:w="1751"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r>
              <w:rPr>
                <w:rFonts w:ascii="宋体" w:hAnsi="宋体" w:hint="eastAsia"/>
                <w:sz w:val="21"/>
                <w:szCs w:val="21"/>
              </w:rPr>
              <w:t>上海复星高科技（集团）有限公司</w:t>
            </w:r>
          </w:p>
        </w:tc>
        <w:tc>
          <w:tcPr>
            <w:tcW w:w="1849"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r>
              <w:rPr>
                <w:rFonts w:ascii="宋体" w:hAnsi="宋体" w:hint="eastAsia"/>
                <w:sz w:val="21"/>
                <w:szCs w:val="21"/>
              </w:rPr>
              <w:t>境内非国有法人</w:t>
            </w:r>
          </w:p>
        </w:tc>
        <w:tc>
          <w:tcPr>
            <w:tcW w:w="881"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12.35%</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182,211,872</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w:t>
            </w:r>
          </w:p>
        </w:tc>
        <w:tc>
          <w:tcPr>
            <w:tcW w:w="138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w:t>
            </w:r>
          </w:p>
        </w:tc>
      </w:tr>
      <w:tr w:rsidR="006D5885">
        <w:trPr>
          <w:jc w:val="center"/>
        </w:trPr>
        <w:tc>
          <w:tcPr>
            <w:tcW w:w="1751"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r>
              <w:rPr>
                <w:rFonts w:ascii="宋体" w:hAnsi="宋体" w:hint="eastAsia"/>
                <w:sz w:val="21"/>
                <w:szCs w:val="21"/>
              </w:rPr>
              <w:t>中央汇金资产管理有限责任公司</w:t>
            </w:r>
          </w:p>
        </w:tc>
        <w:tc>
          <w:tcPr>
            <w:tcW w:w="1849"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r>
              <w:rPr>
                <w:rFonts w:ascii="宋体" w:hAnsi="宋体" w:hint="eastAsia"/>
                <w:sz w:val="21"/>
                <w:szCs w:val="21"/>
              </w:rPr>
              <w:t>国有法人</w:t>
            </w:r>
          </w:p>
        </w:tc>
        <w:tc>
          <w:tcPr>
            <w:tcW w:w="881"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1.87%</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27,511,100</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w:t>
            </w:r>
          </w:p>
        </w:tc>
        <w:tc>
          <w:tcPr>
            <w:tcW w:w="138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w:t>
            </w:r>
          </w:p>
        </w:tc>
      </w:tr>
      <w:tr w:rsidR="006D5885">
        <w:trPr>
          <w:jc w:val="center"/>
        </w:trPr>
        <w:tc>
          <w:tcPr>
            <w:tcW w:w="1751"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r>
              <w:rPr>
                <w:rFonts w:ascii="宋体" w:hAnsi="宋体" w:hint="eastAsia"/>
                <w:sz w:val="21"/>
                <w:szCs w:val="21"/>
              </w:rPr>
              <w:t>中山市古镇自来水厂</w:t>
            </w:r>
          </w:p>
        </w:tc>
        <w:tc>
          <w:tcPr>
            <w:tcW w:w="1849"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r>
              <w:rPr>
                <w:rFonts w:ascii="宋体" w:hAnsi="宋体" w:hint="eastAsia"/>
                <w:sz w:val="21"/>
                <w:szCs w:val="21"/>
              </w:rPr>
              <w:t>境内非国有法人</w:t>
            </w:r>
          </w:p>
        </w:tc>
        <w:tc>
          <w:tcPr>
            <w:tcW w:w="881"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0.85%</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12,603,546</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w:t>
            </w:r>
          </w:p>
        </w:tc>
        <w:tc>
          <w:tcPr>
            <w:tcW w:w="138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w:t>
            </w:r>
          </w:p>
        </w:tc>
      </w:tr>
      <w:tr w:rsidR="006D5885">
        <w:trPr>
          <w:jc w:val="center"/>
        </w:trPr>
        <w:tc>
          <w:tcPr>
            <w:tcW w:w="1751"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r>
              <w:rPr>
                <w:rFonts w:ascii="宋体" w:hAnsi="宋体" w:hint="eastAsia"/>
                <w:sz w:val="21"/>
                <w:szCs w:val="21"/>
              </w:rPr>
              <w:t>中山市三乡水务有限公司</w:t>
            </w:r>
          </w:p>
        </w:tc>
        <w:tc>
          <w:tcPr>
            <w:tcW w:w="1849"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r>
              <w:rPr>
                <w:rFonts w:ascii="宋体" w:hAnsi="宋体" w:hint="eastAsia"/>
                <w:sz w:val="21"/>
                <w:szCs w:val="21"/>
              </w:rPr>
              <w:t>境内非国有法人</w:t>
            </w:r>
          </w:p>
        </w:tc>
        <w:tc>
          <w:tcPr>
            <w:tcW w:w="881"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0.80%</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11,797,866</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w:t>
            </w:r>
          </w:p>
        </w:tc>
        <w:tc>
          <w:tcPr>
            <w:tcW w:w="138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w:t>
            </w:r>
          </w:p>
        </w:tc>
      </w:tr>
      <w:tr w:rsidR="006D5885">
        <w:trPr>
          <w:jc w:val="center"/>
        </w:trPr>
        <w:tc>
          <w:tcPr>
            <w:tcW w:w="1751"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r>
              <w:rPr>
                <w:rFonts w:ascii="宋体" w:hAnsi="宋体" w:hint="eastAsia"/>
                <w:sz w:val="21"/>
                <w:szCs w:val="21"/>
              </w:rPr>
              <w:t>中国证券金融股份有限公司</w:t>
            </w:r>
          </w:p>
        </w:tc>
        <w:tc>
          <w:tcPr>
            <w:tcW w:w="1849"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r>
              <w:rPr>
                <w:rFonts w:ascii="宋体" w:hAnsi="宋体" w:hint="eastAsia"/>
                <w:sz w:val="21"/>
                <w:szCs w:val="21"/>
              </w:rPr>
              <w:t>境内非国有法人</w:t>
            </w:r>
          </w:p>
        </w:tc>
        <w:tc>
          <w:tcPr>
            <w:tcW w:w="881"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0.59%</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8,661,579</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w:t>
            </w:r>
          </w:p>
        </w:tc>
        <w:tc>
          <w:tcPr>
            <w:tcW w:w="138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w:t>
            </w:r>
          </w:p>
        </w:tc>
      </w:tr>
      <w:tr w:rsidR="006D5885">
        <w:trPr>
          <w:jc w:val="center"/>
        </w:trPr>
        <w:tc>
          <w:tcPr>
            <w:tcW w:w="1751"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r>
              <w:rPr>
                <w:rFonts w:ascii="宋体" w:hAnsi="宋体" w:hint="eastAsia"/>
                <w:sz w:val="21"/>
                <w:szCs w:val="21"/>
              </w:rPr>
              <w:t>广西铁路发展投资基金（有限合伙）</w:t>
            </w:r>
          </w:p>
        </w:tc>
        <w:tc>
          <w:tcPr>
            <w:tcW w:w="1849"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r>
              <w:rPr>
                <w:rFonts w:ascii="宋体" w:hAnsi="宋体" w:hint="eastAsia"/>
                <w:sz w:val="21"/>
                <w:szCs w:val="21"/>
              </w:rPr>
              <w:t>境内非国有法人</w:t>
            </w:r>
          </w:p>
        </w:tc>
        <w:tc>
          <w:tcPr>
            <w:tcW w:w="881"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0.56%</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8,319,467</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w:t>
            </w:r>
          </w:p>
        </w:tc>
        <w:tc>
          <w:tcPr>
            <w:tcW w:w="138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w:t>
            </w:r>
          </w:p>
        </w:tc>
      </w:tr>
      <w:tr w:rsidR="006D5885">
        <w:trPr>
          <w:jc w:val="center"/>
        </w:trPr>
        <w:tc>
          <w:tcPr>
            <w:tcW w:w="1751"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r>
              <w:rPr>
                <w:rFonts w:ascii="宋体" w:hAnsi="宋体" w:hint="eastAsia"/>
                <w:sz w:val="21"/>
                <w:szCs w:val="21"/>
              </w:rPr>
              <w:t>中国农业银行股份有限公司－中证</w:t>
            </w:r>
            <w:r>
              <w:rPr>
                <w:rFonts w:ascii="宋体" w:hAnsi="宋体"/>
                <w:sz w:val="21"/>
                <w:szCs w:val="21"/>
              </w:rPr>
              <w:t>500</w:t>
            </w:r>
            <w:r>
              <w:rPr>
                <w:rFonts w:ascii="宋体" w:hAnsi="宋体" w:hint="eastAsia"/>
                <w:sz w:val="21"/>
                <w:szCs w:val="21"/>
              </w:rPr>
              <w:t>交易型开放式指数证券投资基金</w:t>
            </w:r>
          </w:p>
        </w:tc>
        <w:tc>
          <w:tcPr>
            <w:tcW w:w="1849"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r>
              <w:rPr>
                <w:rFonts w:ascii="宋体" w:hAnsi="宋体" w:hint="eastAsia"/>
                <w:sz w:val="21"/>
                <w:szCs w:val="21"/>
              </w:rPr>
              <w:t>其他</w:t>
            </w:r>
          </w:p>
        </w:tc>
        <w:tc>
          <w:tcPr>
            <w:tcW w:w="881"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0.54%</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8,038,547</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w:t>
            </w:r>
          </w:p>
        </w:tc>
        <w:tc>
          <w:tcPr>
            <w:tcW w:w="138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w:t>
            </w:r>
          </w:p>
        </w:tc>
      </w:tr>
      <w:tr w:rsidR="006D5885">
        <w:trPr>
          <w:jc w:val="center"/>
        </w:trPr>
        <w:tc>
          <w:tcPr>
            <w:tcW w:w="1751"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r>
              <w:rPr>
                <w:rFonts w:ascii="宋体" w:hAnsi="宋体" w:hint="eastAsia"/>
                <w:sz w:val="21"/>
                <w:szCs w:val="21"/>
              </w:rPr>
              <w:t>中山市东凤自来水厂</w:t>
            </w:r>
          </w:p>
        </w:tc>
        <w:tc>
          <w:tcPr>
            <w:tcW w:w="1849"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r>
              <w:rPr>
                <w:rFonts w:ascii="宋体" w:hAnsi="宋体" w:hint="eastAsia"/>
                <w:sz w:val="21"/>
                <w:szCs w:val="21"/>
              </w:rPr>
              <w:t>境内非国有法人</w:t>
            </w:r>
          </w:p>
        </w:tc>
        <w:tc>
          <w:tcPr>
            <w:tcW w:w="881"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0.54%</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7,998,806</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w:t>
            </w:r>
          </w:p>
        </w:tc>
        <w:tc>
          <w:tcPr>
            <w:tcW w:w="138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w:t>
            </w:r>
          </w:p>
        </w:tc>
      </w:tr>
      <w:tr w:rsidR="006D5885">
        <w:trPr>
          <w:jc w:val="center"/>
        </w:trPr>
        <w:tc>
          <w:tcPr>
            <w:tcW w:w="1751" w:type="dxa"/>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r>
              <w:rPr>
                <w:rFonts w:ascii="宋体" w:hAnsi="宋体" w:hint="eastAsia"/>
                <w:sz w:val="21"/>
                <w:szCs w:val="21"/>
              </w:rPr>
              <w:t>张克强</w:t>
            </w:r>
          </w:p>
        </w:tc>
        <w:tc>
          <w:tcPr>
            <w:tcW w:w="1849" w:type="dxa"/>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r>
              <w:rPr>
                <w:rFonts w:ascii="宋体" w:hAnsi="宋体" w:hint="eastAsia"/>
                <w:sz w:val="21"/>
                <w:szCs w:val="21"/>
              </w:rPr>
              <w:t>境内自然人</w:t>
            </w:r>
          </w:p>
        </w:tc>
        <w:tc>
          <w:tcPr>
            <w:tcW w:w="881" w:type="dxa"/>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0.46%</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6,759,437</w:t>
            </w:r>
          </w:p>
        </w:tc>
        <w:tc>
          <w:tcPr>
            <w:tcW w:w="1440" w:type="dxa"/>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w:t>
            </w:r>
          </w:p>
        </w:tc>
        <w:tc>
          <w:tcPr>
            <w:tcW w:w="138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w:t>
            </w:r>
          </w:p>
        </w:tc>
      </w:tr>
      <w:tr w:rsidR="006D5885">
        <w:trPr>
          <w:jc w:val="center"/>
        </w:trPr>
        <w:tc>
          <w:tcPr>
            <w:tcW w:w="10235" w:type="dxa"/>
            <w:gridSpan w:val="9"/>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前</w:t>
            </w:r>
            <w:r>
              <w:rPr>
                <w:rFonts w:ascii="宋体" w:hAnsi="宋体"/>
                <w:sz w:val="21"/>
                <w:szCs w:val="21"/>
              </w:rPr>
              <w:t>10</w:t>
            </w:r>
            <w:r>
              <w:rPr>
                <w:rFonts w:ascii="宋体" w:hAnsi="宋体" w:hint="eastAsia"/>
                <w:sz w:val="21"/>
                <w:szCs w:val="21"/>
              </w:rPr>
              <w:t>名无限售条件股东持股情况</w:t>
            </w:r>
          </w:p>
        </w:tc>
      </w:tr>
      <w:tr w:rsidR="006D5885">
        <w:trPr>
          <w:jc w:val="center"/>
        </w:trPr>
        <w:tc>
          <w:tcPr>
            <w:tcW w:w="3600"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股东名称</w:t>
            </w:r>
          </w:p>
        </w:tc>
        <w:tc>
          <w:tcPr>
            <w:tcW w:w="3746" w:type="dxa"/>
            <w:gridSpan w:val="4"/>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持有无限售条件股份数量</w:t>
            </w:r>
          </w:p>
        </w:tc>
        <w:tc>
          <w:tcPr>
            <w:tcW w:w="2889"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股份种类</w:t>
            </w:r>
          </w:p>
        </w:tc>
      </w:tr>
      <w:tr w:rsidR="006D5885">
        <w:trPr>
          <w:jc w:val="center"/>
        </w:trPr>
        <w:tc>
          <w:tcPr>
            <w:tcW w:w="3600" w:type="dxa"/>
            <w:gridSpan w:val="2"/>
            <w:vMerge/>
            <w:tcBorders>
              <w:top w:val="single" w:sz="4" w:space="0" w:color="auto"/>
              <w:left w:val="single" w:sz="4" w:space="0" w:color="auto"/>
              <w:bottom w:val="single" w:sz="4" w:space="0" w:color="auto"/>
              <w:right w:val="single" w:sz="4" w:space="0" w:color="auto"/>
            </w:tcBorders>
            <w:vAlign w:val="center"/>
          </w:tcPr>
          <w:p w:rsidR="006D5885" w:rsidRDefault="006D5885">
            <w:pPr>
              <w:jc w:val="center"/>
              <w:rPr>
                <w:rFonts w:cs="Times New Roman"/>
                <w:sz w:val="21"/>
                <w:szCs w:val="21"/>
              </w:rPr>
            </w:pPr>
          </w:p>
        </w:tc>
        <w:tc>
          <w:tcPr>
            <w:tcW w:w="3746" w:type="dxa"/>
            <w:gridSpan w:val="4"/>
            <w:vMerge/>
            <w:tcBorders>
              <w:top w:val="single" w:sz="4" w:space="0" w:color="auto"/>
              <w:left w:val="single" w:sz="4" w:space="0" w:color="auto"/>
              <w:bottom w:val="single" w:sz="4" w:space="0" w:color="auto"/>
              <w:right w:val="single" w:sz="4" w:space="0" w:color="auto"/>
            </w:tcBorders>
            <w:vAlign w:val="center"/>
          </w:tcPr>
          <w:p w:rsidR="006D5885" w:rsidRDefault="006D5885">
            <w:pPr>
              <w:jc w:val="center"/>
              <w:rPr>
                <w:rFonts w:cs="Times New Roman"/>
                <w:sz w:val="21"/>
                <w:szCs w:val="21"/>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股份种类</w:t>
            </w:r>
          </w:p>
        </w:tc>
        <w:tc>
          <w:tcPr>
            <w:tcW w:w="1386"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数量</w:t>
            </w:r>
          </w:p>
        </w:tc>
      </w:tr>
      <w:tr w:rsidR="006D5885">
        <w:trPr>
          <w:jc w:val="center"/>
        </w:trPr>
        <w:tc>
          <w:tcPr>
            <w:tcW w:w="3600" w:type="dxa"/>
            <w:gridSpan w:val="2"/>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r>
              <w:rPr>
                <w:rFonts w:ascii="宋体" w:hAnsi="宋体" w:hint="eastAsia"/>
                <w:sz w:val="21"/>
                <w:szCs w:val="21"/>
              </w:rPr>
              <w:t>中山中汇投资集团有限公司</w:t>
            </w:r>
          </w:p>
        </w:tc>
        <w:tc>
          <w:tcPr>
            <w:tcW w:w="3746" w:type="dxa"/>
            <w:gridSpan w:val="4"/>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491,071,483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人民币普通股</w:t>
            </w:r>
          </w:p>
        </w:tc>
        <w:tc>
          <w:tcPr>
            <w:tcW w:w="138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sz w:val="21"/>
                <w:szCs w:val="21"/>
              </w:rPr>
            </w:pPr>
            <w:r>
              <w:rPr>
                <w:rFonts w:ascii="宋体" w:hAnsi="宋体"/>
                <w:sz w:val="21"/>
                <w:szCs w:val="21"/>
              </w:rPr>
              <w:t>491,071,483</w:t>
            </w:r>
          </w:p>
        </w:tc>
      </w:tr>
      <w:tr w:rsidR="006D5885">
        <w:trPr>
          <w:jc w:val="center"/>
        </w:trPr>
        <w:tc>
          <w:tcPr>
            <w:tcW w:w="3600" w:type="dxa"/>
            <w:gridSpan w:val="2"/>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r>
              <w:rPr>
                <w:rFonts w:ascii="宋体" w:hAnsi="宋体" w:hint="eastAsia"/>
                <w:sz w:val="21"/>
                <w:szCs w:val="21"/>
              </w:rPr>
              <w:t>上海复星高科技（集团）有限公司</w:t>
            </w:r>
          </w:p>
        </w:tc>
        <w:tc>
          <w:tcPr>
            <w:tcW w:w="3746" w:type="dxa"/>
            <w:gridSpan w:val="4"/>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182,211,872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人民币普通股</w:t>
            </w:r>
          </w:p>
        </w:tc>
        <w:tc>
          <w:tcPr>
            <w:tcW w:w="138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sz w:val="21"/>
                <w:szCs w:val="21"/>
              </w:rPr>
            </w:pPr>
            <w:r>
              <w:rPr>
                <w:rFonts w:ascii="宋体" w:hAnsi="宋体"/>
                <w:sz w:val="21"/>
                <w:szCs w:val="21"/>
              </w:rPr>
              <w:t>182,211,872</w:t>
            </w:r>
          </w:p>
        </w:tc>
      </w:tr>
      <w:tr w:rsidR="006D5885">
        <w:trPr>
          <w:jc w:val="center"/>
        </w:trPr>
        <w:tc>
          <w:tcPr>
            <w:tcW w:w="3600" w:type="dxa"/>
            <w:gridSpan w:val="2"/>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r>
              <w:rPr>
                <w:rFonts w:ascii="宋体" w:hAnsi="宋体" w:hint="eastAsia"/>
                <w:sz w:val="21"/>
                <w:szCs w:val="21"/>
              </w:rPr>
              <w:t>中央汇金资产管理有限责任公司</w:t>
            </w:r>
          </w:p>
        </w:tc>
        <w:tc>
          <w:tcPr>
            <w:tcW w:w="3746" w:type="dxa"/>
            <w:gridSpan w:val="4"/>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27,511,100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人民币普通股</w:t>
            </w:r>
          </w:p>
        </w:tc>
        <w:tc>
          <w:tcPr>
            <w:tcW w:w="138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sz w:val="21"/>
                <w:szCs w:val="21"/>
              </w:rPr>
            </w:pPr>
            <w:r>
              <w:rPr>
                <w:rFonts w:ascii="宋体" w:hAnsi="宋体"/>
                <w:sz w:val="21"/>
                <w:szCs w:val="21"/>
              </w:rPr>
              <w:t>27,511,100</w:t>
            </w:r>
          </w:p>
        </w:tc>
      </w:tr>
      <w:tr w:rsidR="006D5885">
        <w:trPr>
          <w:jc w:val="center"/>
        </w:trPr>
        <w:tc>
          <w:tcPr>
            <w:tcW w:w="3600" w:type="dxa"/>
            <w:gridSpan w:val="2"/>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r>
              <w:rPr>
                <w:rFonts w:ascii="宋体" w:hAnsi="宋体" w:hint="eastAsia"/>
                <w:sz w:val="21"/>
                <w:szCs w:val="21"/>
              </w:rPr>
              <w:t>中山市古镇自来水厂</w:t>
            </w:r>
          </w:p>
        </w:tc>
        <w:tc>
          <w:tcPr>
            <w:tcW w:w="3746" w:type="dxa"/>
            <w:gridSpan w:val="4"/>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12,603,546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人民币普通股</w:t>
            </w:r>
          </w:p>
        </w:tc>
        <w:tc>
          <w:tcPr>
            <w:tcW w:w="138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sz w:val="21"/>
                <w:szCs w:val="21"/>
              </w:rPr>
            </w:pPr>
            <w:r>
              <w:rPr>
                <w:rFonts w:ascii="宋体" w:hAnsi="宋体"/>
                <w:sz w:val="21"/>
                <w:szCs w:val="21"/>
              </w:rPr>
              <w:t>12,603,546</w:t>
            </w:r>
          </w:p>
        </w:tc>
      </w:tr>
      <w:tr w:rsidR="006D5885">
        <w:trPr>
          <w:jc w:val="center"/>
        </w:trPr>
        <w:tc>
          <w:tcPr>
            <w:tcW w:w="3600" w:type="dxa"/>
            <w:gridSpan w:val="2"/>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r>
              <w:rPr>
                <w:rFonts w:ascii="宋体" w:hAnsi="宋体" w:hint="eastAsia"/>
                <w:sz w:val="21"/>
                <w:szCs w:val="21"/>
              </w:rPr>
              <w:t>中山市三乡水务有限公司</w:t>
            </w:r>
          </w:p>
        </w:tc>
        <w:tc>
          <w:tcPr>
            <w:tcW w:w="3746" w:type="dxa"/>
            <w:gridSpan w:val="4"/>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11,797,866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人民币普通股</w:t>
            </w:r>
          </w:p>
        </w:tc>
        <w:tc>
          <w:tcPr>
            <w:tcW w:w="138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sz w:val="21"/>
                <w:szCs w:val="21"/>
              </w:rPr>
            </w:pPr>
            <w:r>
              <w:rPr>
                <w:rFonts w:ascii="宋体" w:hAnsi="宋体"/>
                <w:sz w:val="21"/>
                <w:szCs w:val="21"/>
              </w:rPr>
              <w:t>11,797,866</w:t>
            </w:r>
          </w:p>
        </w:tc>
      </w:tr>
      <w:tr w:rsidR="006D5885">
        <w:trPr>
          <w:jc w:val="center"/>
        </w:trPr>
        <w:tc>
          <w:tcPr>
            <w:tcW w:w="3600" w:type="dxa"/>
            <w:gridSpan w:val="2"/>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r>
              <w:rPr>
                <w:rFonts w:ascii="宋体" w:hAnsi="宋体" w:hint="eastAsia"/>
                <w:sz w:val="21"/>
                <w:szCs w:val="21"/>
              </w:rPr>
              <w:t>中国证券金融股份有限公司</w:t>
            </w:r>
          </w:p>
        </w:tc>
        <w:tc>
          <w:tcPr>
            <w:tcW w:w="3746" w:type="dxa"/>
            <w:gridSpan w:val="4"/>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8,661,579</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人民币普通股</w:t>
            </w:r>
          </w:p>
        </w:tc>
        <w:tc>
          <w:tcPr>
            <w:tcW w:w="138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sz w:val="21"/>
                <w:szCs w:val="21"/>
              </w:rPr>
            </w:pPr>
            <w:r>
              <w:rPr>
                <w:rFonts w:ascii="宋体" w:hAnsi="宋体"/>
                <w:sz w:val="21"/>
                <w:szCs w:val="21"/>
              </w:rPr>
              <w:t>8,661,579</w:t>
            </w:r>
          </w:p>
        </w:tc>
      </w:tr>
      <w:tr w:rsidR="006D5885">
        <w:trPr>
          <w:jc w:val="center"/>
        </w:trPr>
        <w:tc>
          <w:tcPr>
            <w:tcW w:w="3600" w:type="dxa"/>
            <w:gridSpan w:val="2"/>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r>
              <w:rPr>
                <w:rFonts w:ascii="宋体" w:hAnsi="宋体" w:hint="eastAsia"/>
                <w:sz w:val="21"/>
                <w:szCs w:val="21"/>
              </w:rPr>
              <w:t>广西铁路发展投资基金（有限合伙）</w:t>
            </w:r>
          </w:p>
        </w:tc>
        <w:tc>
          <w:tcPr>
            <w:tcW w:w="3746" w:type="dxa"/>
            <w:gridSpan w:val="4"/>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8,319,467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人民币普通股</w:t>
            </w:r>
          </w:p>
        </w:tc>
        <w:tc>
          <w:tcPr>
            <w:tcW w:w="138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sz w:val="21"/>
                <w:szCs w:val="21"/>
              </w:rPr>
            </w:pPr>
            <w:r>
              <w:rPr>
                <w:rFonts w:ascii="宋体" w:hAnsi="宋体"/>
                <w:sz w:val="21"/>
                <w:szCs w:val="21"/>
              </w:rPr>
              <w:t>8,319,467</w:t>
            </w:r>
          </w:p>
        </w:tc>
      </w:tr>
      <w:tr w:rsidR="006D5885">
        <w:trPr>
          <w:jc w:val="center"/>
        </w:trPr>
        <w:tc>
          <w:tcPr>
            <w:tcW w:w="3600" w:type="dxa"/>
            <w:gridSpan w:val="2"/>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r>
              <w:rPr>
                <w:rFonts w:ascii="宋体" w:hAnsi="宋体" w:hint="eastAsia"/>
                <w:sz w:val="21"/>
                <w:szCs w:val="21"/>
              </w:rPr>
              <w:t>中国农业银行股份有限公司－中证</w:t>
            </w:r>
            <w:r>
              <w:rPr>
                <w:rFonts w:ascii="宋体" w:hAnsi="宋体"/>
                <w:sz w:val="21"/>
                <w:szCs w:val="21"/>
              </w:rPr>
              <w:t>500</w:t>
            </w:r>
            <w:r>
              <w:rPr>
                <w:rFonts w:ascii="宋体" w:hAnsi="宋体" w:hint="eastAsia"/>
                <w:sz w:val="21"/>
                <w:szCs w:val="21"/>
              </w:rPr>
              <w:t>交易型开放式指数证券投资基金</w:t>
            </w:r>
          </w:p>
        </w:tc>
        <w:tc>
          <w:tcPr>
            <w:tcW w:w="3746" w:type="dxa"/>
            <w:gridSpan w:val="4"/>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8,038,547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人民币普通股</w:t>
            </w:r>
          </w:p>
        </w:tc>
        <w:tc>
          <w:tcPr>
            <w:tcW w:w="138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sz w:val="21"/>
                <w:szCs w:val="21"/>
              </w:rPr>
            </w:pPr>
            <w:r>
              <w:rPr>
                <w:rFonts w:ascii="宋体" w:hAnsi="宋体"/>
                <w:sz w:val="21"/>
                <w:szCs w:val="21"/>
              </w:rPr>
              <w:t>8,038,547</w:t>
            </w:r>
          </w:p>
        </w:tc>
      </w:tr>
      <w:tr w:rsidR="006D5885">
        <w:trPr>
          <w:jc w:val="center"/>
        </w:trPr>
        <w:tc>
          <w:tcPr>
            <w:tcW w:w="3600" w:type="dxa"/>
            <w:gridSpan w:val="2"/>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r>
              <w:rPr>
                <w:rFonts w:ascii="宋体" w:hAnsi="宋体" w:hint="eastAsia"/>
                <w:sz w:val="21"/>
                <w:szCs w:val="21"/>
              </w:rPr>
              <w:t>中山市东凤自来水厂</w:t>
            </w:r>
          </w:p>
        </w:tc>
        <w:tc>
          <w:tcPr>
            <w:tcW w:w="3746" w:type="dxa"/>
            <w:gridSpan w:val="4"/>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7,998,806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人民币普通股</w:t>
            </w:r>
          </w:p>
        </w:tc>
        <w:tc>
          <w:tcPr>
            <w:tcW w:w="138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sz w:val="21"/>
                <w:szCs w:val="21"/>
              </w:rPr>
            </w:pPr>
            <w:r>
              <w:rPr>
                <w:rFonts w:ascii="宋体" w:hAnsi="宋体"/>
                <w:sz w:val="21"/>
                <w:szCs w:val="21"/>
              </w:rPr>
              <w:t>7,998,806</w:t>
            </w:r>
          </w:p>
        </w:tc>
      </w:tr>
      <w:tr w:rsidR="006D5885">
        <w:trPr>
          <w:jc w:val="center"/>
        </w:trPr>
        <w:tc>
          <w:tcPr>
            <w:tcW w:w="3600" w:type="dxa"/>
            <w:gridSpan w:val="2"/>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r>
              <w:rPr>
                <w:rFonts w:ascii="宋体" w:hAnsi="宋体" w:hint="eastAsia"/>
                <w:sz w:val="21"/>
                <w:szCs w:val="21"/>
              </w:rPr>
              <w:t>张克强</w:t>
            </w:r>
          </w:p>
        </w:tc>
        <w:tc>
          <w:tcPr>
            <w:tcW w:w="3746" w:type="dxa"/>
            <w:gridSpan w:val="4"/>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6,759,437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人民币普通股</w:t>
            </w:r>
          </w:p>
        </w:tc>
        <w:tc>
          <w:tcPr>
            <w:tcW w:w="138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sz w:val="21"/>
                <w:szCs w:val="21"/>
              </w:rPr>
            </w:pPr>
            <w:r>
              <w:rPr>
                <w:rFonts w:ascii="宋体" w:hAnsi="宋体"/>
                <w:sz w:val="21"/>
                <w:szCs w:val="21"/>
              </w:rPr>
              <w:t>6,759,437</w:t>
            </w:r>
          </w:p>
        </w:tc>
      </w:tr>
      <w:tr w:rsidR="006D5885">
        <w:trPr>
          <w:jc w:val="center"/>
        </w:trPr>
        <w:tc>
          <w:tcPr>
            <w:tcW w:w="360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sz w:val="21"/>
                <w:szCs w:val="21"/>
              </w:rPr>
            </w:pPr>
            <w:r>
              <w:rPr>
                <w:rFonts w:ascii="宋体" w:hAnsi="宋体" w:hint="eastAsia"/>
                <w:sz w:val="21"/>
                <w:szCs w:val="21"/>
              </w:rPr>
              <w:t>上述股东关联关系或一致行动的说明</w:t>
            </w:r>
          </w:p>
        </w:tc>
        <w:tc>
          <w:tcPr>
            <w:tcW w:w="663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公司前十名股东中持有有限售条件流通股股份的国有股东、法人股各股东之间无关联关系，亦无属于《上市公司股东持股变动信息披露管理办法》中规定的一致行动人情况。其他各无限售条件流通股股东之间，公司无法判断有无关联关系，也无法判断是否属于《上市公司股东持股变动信息披露管理办法》中规定的一致行动人情况。</w:t>
            </w:r>
          </w:p>
        </w:tc>
      </w:tr>
      <w:tr w:rsidR="006D5885">
        <w:trPr>
          <w:jc w:val="center"/>
        </w:trPr>
        <w:tc>
          <w:tcPr>
            <w:tcW w:w="360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sz w:val="21"/>
                <w:szCs w:val="21"/>
              </w:rPr>
            </w:pPr>
            <w:r>
              <w:rPr>
                <w:rFonts w:ascii="宋体" w:hAnsi="宋体" w:hint="eastAsia"/>
                <w:sz w:val="21"/>
                <w:szCs w:val="21"/>
              </w:rPr>
              <w:t>前</w:t>
            </w:r>
            <w:r>
              <w:rPr>
                <w:rFonts w:ascii="宋体" w:hAnsi="宋体"/>
                <w:sz w:val="21"/>
                <w:szCs w:val="21"/>
              </w:rPr>
              <w:t>10</w:t>
            </w:r>
            <w:r>
              <w:rPr>
                <w:rFonts w:ascii="宋体" w:hAnsi="宋体" w:hint="eastAsia"/>
                <w:sz w:val="21"/>
                <w:szCs w:val="21"/>
              </w:rPr>
              <w:t>名普通股股东参与融资融券业务情况说明（如有）</w:t>
            </w:r>
          </w:p>
        </w:tc>
        <w:tc>
          <w:tcPr>
            <w:tcW w:w="663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无。</w:t>
            </w:r>
          </w:p>
        </w:tc>
      </w:tr>
    </w:tbl>
    <w:p w:rsidR="006D5885" w:rsidRDefault="006D5885">
      <w:pPr>
        <w:spacing w:before="0" w:after="0" w:line="360" w:lineRule="auto"/>
        <w:rPr>
          <w:rFonts w:cs="Times New Roman"/>
          <w:sz w:val="24"/>
          <w:szCs w:val="24"/>
        </w:rPr>
      </w:pPr>
      <w:r>
        <w:rPr>
          <w:rFonts w:ascii="宋体" w:hAnsi="宋体" w:hint="eastAsia"/>
          <w:sz w:val="24"/>
          <w:szCs w:val="24"/>
        </w:rPr>
        <w:t>公司前</w:t>
      </w:r>
      <w:r>
        <w:rPr>
          <w:rFonts w:ascii="宋体" w:hAnsi="宋体"/>
          <w:sz w:val="24"/>
          <w:szCs w:val="24"/>
        </w:rPr>
        <w:t>10</w:t>
      </w:r>
      <w:r>
        <w:rPr>
          <w:rFonts w:ascii="宋体" w:hAnsi="宋体" w:hint="eastAsia"/>
          <w:sz w:val="24"/>
          <w:szCs w:val="24"/>
        </w:rPr>
        <w:t>名普通股股东、前</w:t>
      </w:r>
      <w:r>
        <w:rPr>
          <w:rFonts w:ascii="宋体" w:hAnsi="宋体"/>
          <w:sz w:val="24"/>
          <w:szCs w:val="24"/>
        </w:rPr>
        <w:t>10</w:t>
      </w:r>
      <w:r>
        <w:rPr>
          <w:rFonts w:ascii="宋体" w:hAnsi="宋体" w:hint="eastAsia"/>
          <w:sz w:val="24"/>
          <w:szCs w:val="24"/>
        </w:rPr>
        <w:t>名无限售条件普通股股东在报告期内是否进行约定购回交易</w:t>
      </w:r>
    </w:p>
    <w:p w:rsidR="006D5885" w:rsidRDefault="006D5885">
      <w:pPr>
        <w:spacing w:before="0" w:after="0" w:line="360" w:lineRule="auto"/>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是</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否</w:t>
      </w:r>
      <w:r>
        <w:rPr>
          <w:rFonts w:ascii="宋体" w:hAnsi="宋体"/>
          <w:sz w:val="24"/>
          <w:szCs w:val="24"/>
        </w:rPr>
        <w:t xml:space="preserve"> </w:t>
      </w:r>
    </w:p>
    <w:p w:rsidR="006D5885" w:rsidRDefault="006D5885">
      <w:pPr>
        <w:spacing w:before="0" w:after="0" w:line="360" w:lineRule="auto"/>
        <w:rPr>
          <w:rFonts w:cs="Times New Roman"/>
          <w:sz w:val="24"/>
          <w:szCs w:val="24"/>
        </w:rPr>
      </w:pPr>
      <w:r>
        <w:rPr>
          <w:rFonts w:ascii="宋体" w:hAnsi="宋体" w:hint="eastAsia"/>
          <w:sz w:val="24"/>
          <w:szCs w:val="24"/>
        </w:rPr>
        <w:t>公司前</w:t>
      </w:r>
      <w:r>
        <w:rPr>
          <w:rFonts w:ascii="宋体" w:hAnsi="宋体"/>
          <w:sz w:val="24"/>
          <w:szCs w:val="24"/>
        </w:rPr>
        <w:t>10</w:t>
      </w:r>
      <w:r>
        <w:rPr>
          <w:rFonts w:ascii="宋体" w:hAnsi="宋体" w:hint="eastAsia"/>
          <w:sz w:val="24"/>
          <w:szCs w:val="24"/>
        </w:rPr>
        <w:t>名普通股股东、前</w:t>
      </w:r>
      <w:r>
        <w:rPr>
          <w:rFonts w:ascii="宋体" w:hAnsi="宋体"/>
          <w:sz w:val="24"/>
          <w:szCs w:val="24"/>
        </w:rPr>
        <w:t>10</w:t>
      </w:r>
      <w:r>
        <w:rPr>
          <w:rFonts w:ascii="宋体" w:hAnsi="宋体" w:hint="eastAsia"/>
          <w:sz w:val="24"/>
          <w:szCs w:val="24"/>
        </w:rPr>
        <w:t>名无限售条件普通股股东在报告期内未进行约定购回交易。</w:t>
      </w:r>
    </w:p>
    <w:p w:rsidR="006D5885" w:rsidRDefault="006D5885">
      <w:pPr>
        <w:pStyle w:val="Chapter"/>
        <w:spacing w:before="0" w:after="0" w:line="360" w:lineRule="auto"/>
        <w:outlineLvl w:val="1"/>
        <w:rPr>
          <w:rFonts w:cs="Times New Roman"/>
        </w:rPr>
      </w:pPr>
      <w:r>
        <w:rPr>
          <w:rFonts w:ascii="宋体" w:hAnsi="宋体"/>
        </w:rPr>
        <w:t>2</w:t>
      </w:r>
      <w:r>
        <w:rPr>
          <w:rFonts w:ascii="宋体" w:hAnsi="宋体" w:hint="eastAsia"/>
        </w:rPr>
        <w:t>、优先股股东总数及前</w:t>
      </w:r>
      <w:r>
        <w:rPr>
          <w:rFonts w:ascii="宋体" w:hAnsi="宋体"/>
        </w:rPr>
        <w:t>10</w:t>
      </w:r>
      <w:r>
        <w:rPr>
          <w:rFonts w:ascii="宋体" w:hAnsi="宋体" w:hint="eastAsia"/>
        </w:rPr>
        <w:t>名优先股股东持股情况表</w:t>
      </w:r>
    </w:p>
    <w:p w:rsidR="006D5885" w:rsidRDefault="006D5885">
      <w:pPr>
        <w:spacing w:before="0" w:after="0" w:line="360" w:lineRule="auto"/>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适用</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不适用</w:t>
      </w:r>
      <w:r>
        <w:rPr>
          <w:rFonts w:ascii="宋体" w:hAnsi="宋体"/>
          <w:sz w:val="24"/>
          <w:szCs w:val="24"/>
        </w:rPr>
        <w:t xml:space="preserve"> </w:t>
      </w:r>
    </w:p>
    <w:p w:rsidR="006D5885" w:rsidRDefault="006D5885">
      <w:pPr>
        <w:spacing w:before="0" w:after="0" w:line="360" w:lineRule="auto"/>
        <w:rPr>
          <w:rFonts w:ascii="宋体" w:hAnsi="宋体"/>
          <w:sz w:val="24"/>
          <w:szCs w:val="24"/>
        </w:rPr>
        <w:sectPr w:rsidR="006D5885">
          <w:pgSz w:w="11906" w:h="16838"/>
          <w:pgMar w:top="1440" w:right="1134" w:bottom="1440" w:left="1134" w:header="851" w:footer="992" w:gutter="0"/>
          <w:cols w:space="720"/>
          <w:docGrid w:type="lines" w:linePitch="312"/>
        </w:sectPr>
      </w:pPr>
    </w:p>
    <w:p w:rsidR="006D5885" w:rsidRDefault="006D5885">
      <w:pPr>
        <w:pStyle w:val="a3"/>
        <w:outlineLvl w:val="0"/>
        <w:rPr>
          <w:rFonts w:eastAsia="Times New Roman" w:cs="Times New Roman"/>
          <w:sz w:val="44"/>
          <w:szCs w:val="44"/>
        </w:rPr>
      </w:pPr>
      <w:bookmarkStart w:id="3" w:name="_Toc300000086"/>
      <w:r>
        <w:rPr>
          <w:rFonts w:hint="eastAsia"/>
          <w:sz w:val="44"/>
          <w:szCs w:val="44"/>
        </w:rPr>
        <w:t>第三节</w:t>
      </w:r>
      <w:r>
        <w:rPr>
          <w:rFonts w:cs="Times New Roman"/>
          <w:sz w:val="44"/>
          <w:szCs w:val="44"/>
        </w:rPr>
        <w:t xml:space="preserve"> </w:t>
      </w:r>
      <w:r>
        <w:rPr>
          <w:rFonts w:hint="eastAsia"/>
          <w:sz w:val="44"/>
          <w:szCs w:val="44"/>
        </w:rPr>
        <w:t>重要事项</w:t>
      </w:r>
      <w:bookmarkEnd w:id="3"/>
    </w:p>
    <w:p w:rsidR="006D5885" w:rsidRDefault="006D5885">
      <w:pPr>
        <w:pStyle w:val="Chapter"/>
        <w:spacing w:before="0" w:after="0" w:line="360" w:lineRule="auto"/>
        <w:outlineLvl w:val="1"/>
        <w:rPr>
          <w:rFonts w:cs="Times New Roman"/>
        </w:rPr>
      </w:pPr>
      <w:r>
        <w:rPr>
          <w:rFonts w:ascii="宋体" w:hAnsi="宋体" w:hint="eastAsia"/>
        </w:rPr>
        <w:t>一、报告期主要财务数据、财务指标发生变动的情况及原因</w:t>
      </w:r>
    </w:p>
    <w:p w:rsidR="006D5885" w:rsidRDefault="006D5885">
      <w:pPr>
        <w:autoSpaceDE w:val="0"/>
        <w:autoSpaceDN w:val="0"/>
        <w:adjustRightInd w:val="0"/>
        <w:spacing w:before="0" w:after="0" w:line="360" w:lineRule="auto"/>
        <w:jc w:val="left"/>
        <w:rPr>
          <w:rFonts w:ascii="宋体" w:hAnsi="宋体"/>
          <w:sz w:val="24"/>
          <w:szCs w:val="24"/>
          <w:lang w:val="zh-CN"/>
        </w:rPr>
      </w:pPr>
      <w:r>
        <w:rPr>
          <w:rFonts w:ascii="宋体" w:hAnsi="宋体" w:hint="eastAsia"/>
          <w:sz w:val="24"/>
          <w:szCs w:val="24"/>
          <w:lang w:val="zh-CN"/>
        </w:rPr>
        <w:t>√</w:t>
      </w:r>
      <w:r>
        <w:rPr>
          <w:rFonts w:ascii="宋体" w:hAnsi="宋体"/>
          <w:sz w:val="24"/>
          <w:szCs w:val="24"/>
          <w:lang w:val="zh-CN"/>
        </w:rPr>
        <w:t xml:space="preserve"> </w:t>
      </w:r>
      <w:r>
        <w:rPr>
          <w:rFonts w:ascii="宋体" w:hAnsi="宋体" w:hint="eastAsia"/>
          <w:sz w:val="24"/>
          <w:szCs w:val="24"/>
          <w:lang w:val="zh-CN"/>
        </w:rPr>
        <w:t>适用</w:t>
      </w:r>
      <w:r>
        <w:rPr>
          <w:rFonts w:ascii="宋体" w:hAnsi="宋体"/>
          <w:sz w:val="24"/>
          <w:szCs w:val="24"/>
          <w:lang w:val="zh-CN"/>
        </w:rPr>
        <w:t xml:space="preserve"> </w:t>
      </w:r>
      <w:r>
        <w:rPr>
          <w:rFonts w:ascii="宋体" w:hAnsi="宋体" w:hint="eastAsia"/>
          <w:sz w:val="24"/>
          <w:szCs w:val="24"/>
          <w:lang w:val="zh-CN"/>
        </w:rPr>
        <w:t>□</w:t>
      </w:r>
      <w:r>
        <w:rPr>
          <w:rFonts w:ascii="宋体" w:hAnsi="宋体"/>
          <w:sz w:val="24"/>
          <w:szCs w:val="24"/>
          <w:lang w:val="zh-CN"/>
        </w:rPr>
        <w:t xml:space="preserve"> </w:t>
      </w:r>
      <w:r>
        <w:rPr>
          <w:rFonts w:ascii="宋体" w:hAnsi="宋体" w:hint="eastAsia"/>
          <w:sz w:val="24"/>
          <w:szCs w:val="24"/>
          <w:lang w:val="zh-CN"/>
        </w:rPr>
        <w:t>不适用</w:t>
      </w:r>
      <w:r>
        <w:rPr>
          <w:rFonts w:ascii="宋体" w:hAnsi="宋体"/>
          <w:sz w:val="24"/>
          <w:szCs w:val="24"/>
          <w:lang w:val="zh-CN"/>
        </w:rPr>
        <w:t xml:space="preserve"> </w:t>
      </w:r>
    </w:p>
    <w:p w:rsidR="006D5885" w:rsidRDefault="006D5885">
      <w:pPr>
        <w:autoSpaceDE w:val="0"/>
        <w:autoSpaceDN w:val="0"/>
        <w:adjustRightInd w:val="0"/>
        <w:spacing w:before="0" w:after="0" w:line="360" w:lineRule="auto"/>
        <w:jc w:val="right"/>
        <w:rPr>
          <w:rFonts w:ascii="宋体"/>
          <w:lang w:val="zh-CN"/>
        </w:rPr>
      </w:pPr>
      <w:r>
        <w:rPr>
          <w:rFonts w:ascii="宋体" w:hAnsi="宋体" w:hint="eastAsia"/>
          <w:sz w:val="24"/>
          <w:szCs w:val="24"/>
          <w:lang w:val="zh-CN"/>
        </w:rPr>
        <w:t>单位：元</w:t>
      </w:r>
      <w:r>
        <w:rPr>
          <w:rFonts w:ascii="宋体" w:hAnsi="宋体"/>
          <w:sz w:val="24"/>
          <w:szCs w:val="24"/>
          <w:lang w:val="zh-CN"/>
        </w:rPr>
        <w:t xml:space="preserve">  </w:t>
      </w:r>
      <w:r>
        <w:rPr>
          <w:rFonts w:ascii="宋体"/>
          <w:lang w:val="zh-CN"/>
        </w:rPr>
        <w:t xml:space="preserve">                                                                                                                                                                                                                                             </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1753"/>
        <w:gridCol w:w="1712"/>
        <w:gridCol w:w="1691"/>
        <w:gridCol w:w="1777"/>
        <w:gridCol w:w="1142"/>
        <w:gridCol w:w="2050"/>
      </w:tblGrid>
      <w:tr w:rsidR="006D5885">
        <w:trPr>
          <w:trHeight w:val="286"/>
          <w:jc w:val="center"/>
        </w:trPr>
        <w:tc>
          <w:tcPr>
            <w:tcW w:w="1753"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6D5885" w:rsidRDefault="006D5885">
            <w:pPr>
              <w:widowControl/>
              <w:jc w:val="center"/>
              <w:textAlignment w:val="center"/>
              <w:rPr>
                <w:rFonts w:cs="Times New Roman"/>
                <w:color w:val="000000"/>
                <w:sz w:val="21"/>
                <w:szCs w:val="21"/>
              </w:rPr>
            </w:pPr>
            <w:r>
              <w:rPr>
                <w:rFonts w:ascii="宋体" w:hAnsi="宋体" w:hint="eastAsia"/>
                <w:color w:val="000000"/>
                <w:kern w:val="0"/>
                <w:sz w:val="21"/>
                <w:szCs w:val="21"/>
              </w:rPr>
              <w:t>项目</w:t>
            </w:r>
          </w:p>
        </w:tc>
        <w:tc>
          <w:tcPr>
            <w:tcW w:w="1712"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6D5885" w:rsidRDefault="006D5885">
            <w:pPr>
              <w:widowControl/>
              <w:jc w:val="center"/>
              <w:textAlignment w:val="center"/>
              <w:rPr>
                <w:rFonts w:cs="Times New Roman"/>
                <w:color w:val="000000"/>
                <w:sz w:val="21"/>
                <w:szCs w:val="21"/>
              </w:rPr>
            </w:pPr>
            <w:r>
              <w:rPr>
                <w:rFonts w:ascii="宋体" w:hAnsi="宋体" w:hint="eastAsia"/>
                <w:color w:val="000000"/>
                <w:kern w:val="0"/>
                <w:sz w:val="21"/>
                <w:szCs w:val="21"/>
              </w:rPr>
              <w:t>期末余额</w:t>
            </w:r>
          </w:p>
        </w:tc>
        <w:tc>
          <w:tcPr>
            <w:tcW w:w="1691"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6D5885" w:rsidRDefault="006D5885">
            <w:pPr>
              <w:widowControl/>
              <w:jc w:val="center"/>
              <w:textAlignment w:val="center"/>
              <w:rPr>
                <w:rFonts w:cs="Times New Roman"/>
                <w:color w:val="000000"/>
                <w:sz w:val="21"/>
                <w:szCs w:val="21"/>
              </w:rPr>
            </w:pPr>
            <w:r>
              <w:rPr>
                <w:rFonts w:ascii="宋体" w:hAnsi="宋体" w:hint="eastAsia"/>
                <w:color w:val="000000"/>
                <w:kern w:val="0"/>
                <w:sz w:val="21"/>
                <w:szCs w:val="21"/>
              </w:rPr>
              <w:t>期初余额</w:t>
            </w:r>
          </w:p>
        </w:tc>
        <w:tc>
          <w:tcPr>
            <w:tcW w:w="1777"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6D5885" w:rsidRDefault="006D5885">
            <w:pPr>
              <w:widowControl/>
              <w:jc w:val="center"/>
              <w:textAlignment w:val="center"/>
              <w:rPr>
                <w:rFonts w:cs="Times New Roman"/>
                <w:color w:val="000000"/>
                <w:sz w:val="21"/>
                <w:szCs w:val="21"/>
              </w:rPr>
            </w:pPr>
            <w:r>
              <w:rPr>
                <w:rFonts w:ascii="宋体" w:hAnsi="宋体" w:hint="eastAsia"/>
                <w:color w:val="000000"/>
                <w:kern w:val="0"/>
                <w:sz w:val="21"/>
                <w:szCs w:val="21"/>
              </w:rPr>
              <w:t>增减变化</w:t>
            </w:r>
          </w:p>
        </w:tc>
        <w:tc>
          <w:tcPr>
            <w:tcW w:w="1142"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6D5885" w:rsidRDefault="006D5885">
            <w:pPr>
              <w:widowControl/>
              <w:jc w:val="center"/>
              <w:textAlignment w:val="center"/>
              <w:rPr>
                <w:rFonts w:cs="Times New Roman"/>
                <w:color w:val="000000"/>
                <w:sz w:val="21"/>
                <w:szCs w:val="21"/>
              </w:rPr>
            </w:pPr>
            <w:r>
              <w:rPr>
                <w:rFonts w:ascii="宋体" w:hAnsi="宋体" w:hint="eastAsia"/>
                <w:color w:val="000000"/>
                <w:kern w:val="0"/>
                <w:sz w:val="21"/>
                <w:szCs w:val="21"/>
              </w:rPr>
              <w:t>增减变动率</w:t>
            </w:r>
          </w:p>
        </w:tc>
        <w:tc>
          <w:tcPr>
            <w:tcW w:w="2050"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6D5885" w:rsidRDefault="006D5885">
            <w:pPr>
              <w:widowControl/>
              <w:jc w:val="center"/>
              <w:textAlignment w:val="center"/>
              <w:rPr>
                <w:rFonts w:cs="Times New Roman"/>
                <w:color w:val="000000"/>
                <w:sz w:val="21"/>
                <w:szCs w:val="21"/>
              </w:rPr>
            </w:pPr>
            <w:r>
              <w:rPr>
                <w:rFonts w:ascii="宋体" w:hAnsi="宋体" w:hint="eastAsia"/>
                <w:color w:val="000000"/>
                <w:kern w:val="0"/>
                <w:sz w:val="21"/>
                <w:szCs w:val="21"/>
              </w:rPr>
              <w:t>变动原因说明</w:t>
            </w:r>
          </w:p>
        </w:tc>
      </w:tr>
      <w:tr w:rsidR="006D5885">
        <w:trPr>
          <w:trHeight w:val="450"/>
          <w:jc w:val="center"/>
        </w:trPr>
        <w:tc>
          <w:tcPr>
            <w:tcW w:w="1753"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6D5885" w:rsidRDefault="006D5885">
            <w:pPr>
              <w:widowControl/>
              <w:jc w:val="left"/>
              <w:textAlignment w:val="center"/>
              <w:rPr>
                <w:rFonts w:cs="Times New Roman"/>
                <w:color w:val="000000"/>
                <w:sz w:val="21"/>
                <w:szCs w:val="21"/>
              </w:rPr>
            </w:pPr>
            <w:r>
              <w:rPr>
                <w:rFonts w:ascii="宋体" w:hAnsi="宋体" w:hint="eastAsia"/>
                <w:color w:val="000000"/>
                <w:kern w:val="0"/>
                <w:sz w:val="21"/>
                <w:szCs w:val="21"/>
              </w:rPr>
              <w:t>预付款项</w:t>
            </w:r>
          </w:p>
        </w:tc>
        <w:tc>
          <w:tcPr>
            <w:tcW w:w="1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33,232,046.91</w:t>
            </w:r>
          </w:p>
        </w:tc>
        <w:tc>
          <w:tcPr>
            <w:tcW w:w="1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15,377,278.22</w:t>
            </w:r>
          </w:p>
        </w:tc>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 xml:space="preserve"> 17,854,768.69 </w:t>
            </w:r>
          </w:p>
        </w:tc>
        <w:tc>
          <w:tcPr>
            <w:tcW w:w="11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116.11%</w:t>
            </w:r>
          </w:p>
        </w:tc>
        <w:tc>
          <w:tcPr>
            <w:tcW w:w="2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left"/>
              <w:textAlignment w:val="center"/>
              <w:rPr>
                <w:rFonts w:cs="Times New Roman"/>
                <w:color w:val="000000"/>
                <w:sz w:val="21"/>
                <w:szCs w:val="21"/>
              </w:rPr>
            </w:pPr>
            <w:r>
              <w:rPr>
                <w:rFonts w:ascii="宋体" w:hAnsi="宋体" w:hint="eastAsia"/>
                <w:color w:val="000000"/>
                <w:kern w:val="0"/>
                <w:sz w:val="21"/>
                <w:szCs w:val="21"/>
              </w:rPr>
              <w:t>主要是预付工程材料款增加所致。</w:t>
            </w:r>
          </w:p>
        </w:tc>
      </w:tr>
      <w:tr w:rsidR="006D5885">
        <w:trPr>
          <w:trHeight w:val="286"/>
          <w:jc w:val="center"/>
        </w:trPr>
        <w:tc>
          <w:tcPr>
            <w:tcW w:w="1753"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6D5885" w:rsidRDefault="006D5885">
            <w:pPr>
              <w:widowControl/>
              <w:jc w:val="left"/>
              <w:textAlignment w:val="center"/>
              <w:rPr>
                <w:rFonts w:cs="Times New Roman"/>
                <w:color w:val="000000"/>
                <w:sz w:val="21"/>
                <w:szCs w:val="21"/>
              </w:rPr>
            </w:pPr>
            <w:r>
              <w:rPr>
                <w:rFonts w:ascii="宋体" w:hAnsi="宋体" w:hint="eastAsia"/>
                <w:color w:val="000000"/>
                <w:kern w:val="0"/>
                <w:sz w:val="21"/>
                <w:szCs w:val="21"/>
              </w:rPr>
              <w:t>存货</w:t>
            </w:r>
          </w:p>
        </w:tc>
        <w:tc>
          <w:tcPr>
            <w:tcW w:w="1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179,638,279.64</w:t>
            </w:r>
          </w:p>
        </w:tc>
        <w:tc>
          <w:tcPr>
            <w:tcW w:w="1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108,530,574.20</w:t>
            </w:r>
          </w:p>
        </w:tc>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 xml:space="preserve"> 71,107,705.44 </w:t>
            </w:r>
          </w:p>
        </w:tc>
        <w:tc>
          <w:tcPr>
            <w:tcW w:w="11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65.52%</w:t>
            </w:r>
          </w:p>
        </w:tc>
        <w:tc>
          <w:tcPr>
            <w:tcW w:w="2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left"/>
              <w:textAlignment w:val="center"/>
              <w:rPr>
                <w:rFonts w:cs="Times New Roman"/>
                <w:color w:val="000000"/>
                <w:sz w:val="21"/>
                <w:szCs w:val="21"/>
              </w:rPr>
            </w:pPr>
            <w:r>
              <w:rPr>
                <w:rFonts w:ascii="宋体" w:hAnsi="宋体" w:hint="eastAsia"/>
                <w:color w:val="000000"/>
                <w:kern w:val="0"/>
                <w:sz w:val="21"/>
                <w:szCs w:val="21"/>
              </w:rPr>
              <w:t>主要是工程施工增加所致。</w:t>
            </w:r>
          </w:p>
        </w:tc>
      </w:tr>
      <w:tr w:rsidR="006D5885">
        <w:trPr>
          <w:trHeight w:val="450"/>
          <w:jc w:val="center"/>
        </w:trPr>
        <w:tc>
          <w:tcPr>
            <w:tcW w:w="1753"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6D5885" w:rsidRDefault="006D5885">
            <w:pPr>
              <w:widowControl/>
              <w:jc w:val="left"/>
              <w:textAlignment w:val="center"/>
              <w:rPr>
                <w:rFonts w:cs="Times New Roman"/>
                <w:color w:val="000000"/>
                <w:sz w:val="21"/>
                <w:szCs w:val="21"/>
              </w:rPr>
            </w:pPr>
            <w:r>
              <w:rPr>
                <w:rFonts w:ascii="宋体" w:hAnsi="宋体" w:hint="eastAsia"/>
                <w:color w:val="000000"/>
                <w:kern w:val="0"/>
                <w:sz w:val="21"/>
                <w:szCs w:val="21"/>
              </w:rPr>
              <w:t>其他流动资产</w:t>
            </w:r>
          </w:p>
        </w:tc>
        <w:tc>
          <w:tcPr>
            <w:tcW w:w="1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687,853,092.93</w:t>
            </w:r>
          </w:p>
        </w:tc>
        <w:tc>
          <w:tcPr>
            <w:tcW w:w="1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474,512,168.37</w:t>
            </w:r>
          </w:p>
        </w:tc>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 xml:space="preserve"> 213,340,924.56 </w:t>
            </w:r>
          </w:p>
        </w:tc>
        <w:tc>
          <w:tcPr>
            <w:tcW w:w="11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44.96%</w:t>
            </w:r>
          </w:p>
        </w:tc>
        <w:tc>
          <w:tcPr>
            <w:tcW w:w="2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left"/>
              <w:textAlignment w:val="center"/>
              <w:rPr>
                <w:rFonts w:cs="Times New Roman"/>
                <w:color w:val="000000"/>
                <w:sz w:val="21"/>
                <w:szCs w:val="21"/>
              </w:rPr>
            </w:pPr>
            <w:r>
              <w:rPr>
                <w:rFonts w:ascii="宋体" w:hAnsi="宋体" w:hint="eastAsia"/>
                <w:color w:val="000000"/>
                <w:kern w:val="0"/>
                <w:sz w:val="21"/>
                <w:szCs w:val="21"/>
              </w:rPr>
              <w:t>主要是本年理财产品增加所致。</w:t>
            </w:r>
          </w:p>
        </w:tc>
      </w:tr>
      <w:tr w:rsidR="006D5885">
        <w:trPr>
          <w:trHeight w:val="450"/>
          <w:jc w:val="center"/>
        </w:trPr>
        <w:tc>
          <w:tcPr>
            <w:tcW w:w="1753"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6D5885" w:rsidRDefault="006D5885">
            <w:pPr>
              <w:widowControl/>
              <w:jc w:val="left"/>
              <w:textAlignment w:val="center"/>
              <w:rPr>
                <w:rFonts w:cs="Times New Roman"/>
                <w:color w:val="000000"/>
                <w:sz w:val="21"/>
                <w:szCs w:val="21"/>
              </w:rPr>
            </w:pPr>
            <w:r>
              <w:rPr>
                <w:rFonts w:ascii="宋体" w:hAnsi="宋体" w:hint="eastAsia"/>
                <w:color w:val="000000"/>
                <w:kern w:val="0"/>
                <w:sz w:val="21"/>
                <w:szCs w:val="21"/>
              </w:rPr>
              <w:t>在建工程</w:t>
            </w:r>
          </w:p>
        </w:tc>
        <w:tc>
          <w:tcPr>
            <w:tcW w:w="1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478,898,429.95</w:t>
            </w:r>
          </w:p>
        </w:tc>
        <w:tc>
          <w:tcPr>
            <w:tcW w:w="1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335,051,223.67</w:t>
            </w:r>
          </w:p>
        </w:tc>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 xml:space="preserve"> 143,847,206.28 </w:t>
            </w:r>
          </w:p>
        </w:tc>
        <w:tc>
          <w:tcPr>
            <w:tcW w:w="11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42.93%</w:t>
            </w:r>
          </w:p>
        </w:tc>
        <w:tc>
          <w:tcPr>
            <w:tcW w:w="2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left"/>
              <w:textAlignment w:val="center"/>
              <w:rPr>
                <w:rFonts w:cs="Times New Roman"/>
                <w:color w:val="000000"/>
                <w:sz w:val="21"/>
                <w:szCs w:val="21"/>
              </w:rPr>
            </w:pPr>
            <w:r>
              <w:rPr>
                <w:rFonts w:ascii="宋体" w:hAnsi="宋体" w:hint="eastAsia"/>
                <w:color w:val="000000"/>
                <w:kern w:val="0"/>
                <w:sz w:val="21"/>
                <w:szCs w:val="21"/>
              </w:rPr>
              <w:t>主要本年工程建设支出增加所致。</w:t>
            </w:r>
          </w:p>
        </w:tc>
      </w:tr>
      <w:tr w:rsidR="006D5885">
        <w:trPr>
          <w:trHeight w:val="450"/>
          <w:jc w:val="center"/>
        </w:trPr>
        <w:tc>
          <w:tcPr>
            <w:tcW w:w="1753"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6D5885" w:rsidRDefault="006D5885">
            <w:pPr>
              <w:widowControl/>
              <w:jc w:val="left"/>
              <w:textAlignment w:val="center"/>
              <w:rPr>
                <w:rFonts w:cs="Times New Roman"/>
                <w:color w:val="000000"/>
                <w:sz w:val="21"/>
                <w:szCs w:val="21"/>
              </w:rPr>
            </w:pPr>
            <w:r>
              <w:rPr>
                <w:rFonts w:ascii="宋体" w:hAnsi="宋体" w:hint="eastAsia"/>
                <w:color w:val="000000"/>
                <w:kern w:val="0"/>
                <w:sz w:val="21"/>
                <w:szCs w:val="21"/>
              </w:rPr>
              <w:t>其他非流动资产</w:t>
            </w:r>
          </w:p>
        </w:tc>
        <w:tc>
          <w:tcPr>
            <w:tcW w:w="1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176,525,107.94</w:t>
            </w:r>
          </w:p>
        </w:tc>
        <w:tc>
          <w:tcPr>
            <w:tcW w:w="1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52,777,978.21</w:t>
            </w:r>
          </w:p>
        </w:tc>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 xml:space="preserve"> 123,747,129.73 </w:t>
            </w:r>
          </w:p>
        </w:tc>
        <w:tc>
          <w:tcPr>
            <w:tcW w:w="11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234.47%</w:t>
            </w:r>
          </w:p>
        </w:tc>
        <w:tc>
          <w:tcPr>
            <w:tcW w:w="2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left"/>
              <w:textAlignment w:val="center"/>
              <w:rPr>
                <w:rFonts w:cs="Times New Roman"/>
                <w:color w:val="000000"/>
                <w:sz w:val="21"/>
                <w:szCs w:val="21"/>
              </w:rPr>
            </w:pPr>
            <w:r>
              <w:rPr>
                <w:rFonts w:ascii="宋体" w:hAnsi="宋体" w:hint="eastAsia"/>
                <w:color w:val="000000"/>
                <w:kern w:val="0"/>
                <w:sz w:val="21"/>
                <w:szCs w:val="21"/>
              </w:rPr>
              <w:t>主要是预付造船款及天乙能源三期工程款增加所致。</w:t>
            </w:r>
          </w:p>
        </w:tc>
      </w:tr>
      <w:tr w:rsidR="006D5885">
        <w:trPr>
          <w:trHeight w:val="450"/>
          <w:jc w:val="center"/>
        </w:trPr>
        <w:tc>
          <w:tcPr>
            <w:tcW w:w="1753"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6D5885" w:rsidRDefault="006D5885">
            <w:pPr>
              <w:widowControl/>
              <w:jc w:val="left"/>
              <w:textAlignment w:val="center"/>
              <w:rPr>
                <w:rFonts w:cs="Times New Roman"/>
                <w:color w:val="000000"/>
                <w:sz w:val="21"/>
                <w:szCs w:val="21"/>
              </w:rPr>
            </w:pPr>
            <w:r>
              <w:rPr>
                <w:rFonts w:ascii="宋体" w:hAnsi="宋体" w:hint="eastAsia"/>
                <w:color w:val="000000"/>
                <w:kern w:val="0"/>
                <w:sz w:val="21"/>
                <w:szCs w:val="21"/>
              </w:rPr>
              <w:t>其他应付款</w:t>
            </w:r>
          </w:p>
        </w:tc>
        <w:tc>
          <w:tcPr>
            <w:tcW w:w="1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346,644,585.91</w:t>
            </w:r>
          </w:p>
        </w:tc>
        <w:tc>
          <w:tcPr>
            <w:tcW w:w="1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261,743,554.16</w:t>
            </w:r>
          </w:p>
        </w:tc>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 xml:space="preserve"> 84,901,031.75 </w:t>
            </w:r>
          </w:p>
        </w:tc>
        <w:tc>
          <w:tcPr>
            <w:tcW w:w="11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32.44%</w:t>
            </w:r>
          </w:p>
        </w:tc>
        <w:tc>
          <w:tcPr>
            <w:tcW w:w="2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left"/>
              <w:textAlignment w:val="center"/>
              <w:rPr>
                <w:rFonts w:cs="Times New Roman"/>
                <w:color w:val="000000"/>
                <w:sz w:val="21"/>
                <w:szCs w:val="21"/>
              </w:rPr>
            </w:pPr>
            <w:r>
              <w:rPr>
                <w:rFonts w:ascii="宋体" w:hAnsi="宋体" w:hint="eastAsia"/>
                <w:color w:val="000000"/>
                <w:kern w:val="0"/>
                <w:sz w:val="21"/>
                <w:szCs w:val="21"/>
              </w:rPr>
              <w:t>主要是本年计提公司债利息增加所致。</w:t>
            </w:r>
          </w:p>
        </w:tc>
      </w:tr>
      <w:tr w:rsidR="006D5885">
        <w:trPr>
          <w:trHeight w:val="450"/>
          <w:jc w:val="center"/>
        </w:trPr>
        <w:tc>
          <w:tcPr>
            <w:tcW w:w="1753"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6D5885" w:rsidRDefault="006D5885">
            <w:pPr>
              <w:widowControl/>
              <w:jc w:val="left"/>
              <w:textAlignment w:val="center"/>
              <w:rPr>
                <w:rFonts w:cs="Times New Roman"/>
                <w:color w:val="000000"/>
                <w:sz w:val="21"/>
                <w:szCs w:val="21"/>
              </w:rPr>
            </w:pPr>
            <w:r>
              <w:rPr>
                <w:rFonts w:ascii="宋体" w:hAnsi="宋体" w:hint="eastAsia"/>
                <w:color w:val="000000"/>
                <w:kern w:val="0"/>
                <w:sz w:val="21"/>
                <w:szCs w:val="21"/>
              </w:rPr>
              <w:t>应付债券</w:t>
            </w:r>
          </w:p>
        </w:tc>
        <w:tc>
          <w:tcPr>
            <w:tcW w:w="1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1,995,689,444.45</w:t>
            </w:r>
          </w:p>
        </w:tc>
        <w:tc>
          <w:tcPr>
            <w:tcW w:w="1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999,995,000.00</w:t>
            </w:r>
          </w:p>
        </w:tc>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 xml:space="preserve"> 995,694,444.45 </w:t>
            </w:r>
          </w:p>
        </w:tc>
        <w:tc>
          <w:tcPr>
            <w:tcW w:w="11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99.57%</w:t>
            </w:r>
          </w:p>
        </w:tc>
        <w:tc>
          <w:tcPr>
            <w:tcW w:w="2050" w:type="dxa"/>
            <w:tcBorders>
              <w:top w:val="single" w:sz="4" w:space="0" w:color="000000"/>
              <w:left w:val="single" w:sz="4" w:space="0" w:color="000000"/>
              <w:bottom w:val="single" w:sz="4" w:space="0" w:color="000000"/>
              <w:right w:val="single" w:sz="4" w:space="0" w:color="000000"/>
            </w:tcBorders>
            <w:vAlign w:val="center"/>
          </w:tcPr>
          <w:p w:rsidR="006D5885" w:rsidRDefault="006D5885">
            <w:pPr>
              <w:widowControl/>
              <w:jc w:val="left"/>
              <w:textAlignment w:val="center"/>
              <w:rPr>
                <w:rFonts w:cs="Times New Roman"/>
                <w:color w:val="000000"/>
                <w:sz w:val="21"/>
                <w:szCs w:val="21"/>
              </w:rPr>
            </w:pPr>
            <w:r>
              <w:rPr>
                <w:rFonts w:ascii="宋体" w:hAnsi="宋体" w:hint="eastAsia"/>
                <w:color w:val="000000"/>
                <w:kern w:val="0"/>
                <w:sz w:val="21"/>
                <w:szCs w:val="21"/>
              </w:rPr>
              <w:t>主要是本年发行</w:t>
            </w:r>
            <w:r>
              <w:rPr>
                <w:rFonts w:ascii="宋体" w:hAnsi="宋体"/>
                <w:color w:val="000000"/>
                <w:kern w:val="0"/>
                <w:sz w:val="21"/>
                <w:szCs w:val="21"/>
              </w:rPr>
              <w:t>10</w:t>
            </w:r>
            <w:r>
              <w:rPr>
                <w:rFonts w:ascii="宋体" w:hAnsi="宋体" w:hint="eastAsia"/>
                <w:color w:val="000000"/>
                <w:kern w:val="0"/>
                <w:sz w:val="21"/>
                <w:szCs w:val="21"/>
              </w:rPr>
              <w:t>亿元公司债增加所致。</w:t>
            </w:r>
          </w:p>
        </w:tc>
      </w:tr>
      <w:tr w:rsidR="006D5885">
        <w:trPr>
          <w:trHeight w:val="450"/>
          <w:jc w:val="center"/>
        </w:trPr>
        <w:tc>
          <w:tcPr>
            <w:tcW w:w="1753"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6D5885" w:rsidRDefault="006D5885">
            <w:pPr>
              <w:widowControl/>
              <w:jc w:val="left"/>
              <w:textAlignment w:val="center"/>
              <w:rPr>
                <w:rFonts w:cs="Times New Roman"/>
                <w:color w:val="000000"/>
                <w:sz w:val="21"/>
                <w:szCs w:val="21"/>
              </w:rPr>
            </w:pPr>
            <w:r>
              <w:rPr>
                <w:rFonts w:ascii="宋体" w:hAnsi="宋体" w:hint="eastAsia"/>
                <w:color w:val="000000"/>
                <w:kern w:val="0"/>
                <w:sz w:val="21"/>
                <w:szCs w:val="21"/>
              </w:rPr>
              <w:t>长期应付款</w:t>
            </w:r>
          </w:p>
        </w:tc>
        <w:tc>
          <w:tcPr>
            <w:tcW w:w="1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7,499,508.99</w:t>
            </w:r>
          </w:p>
        </w:tc>
        <w:tc>
          <w:tcPr>
            <w:tcW w:w="1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5,035,308.99</w:t>
            </w:r>
          </w:p>
        </w:tc>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 xml:space="preserve"> 2,464,200.00 </w:t>
            </w:r>
          </w:p>
        </w:tc>
        <w:tc>
          <w:tcPr>
            <w:tcW w:w="11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48.94%</w:t>
            </w:r>
          </w:p>
        </w:tc>
        <w:tc>
          <w:tcPr>
            <w:tcW w:w="2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left"/>
              <w:textAlignment w:val="center"/>
              <w:rPr>
                <w:rFonts w:cs="Times New Roman"/>
                <w:color w:val="000000"/>
                <w:sz w:val="21"/>
                <w:szCs w:val="21"/>
              </w:rPr>
            </w:pPr>
            <w:r>
              <w:rPr>
                <w:rFonts w:ascii="宋体" w:hAnsi="宋体" w:hint="eastAsia"/>
                <w:color w:val="000000"/>
                <w:kern w:val="0"/>
                <w:sz w:val="21"/>
                <w:szCs w:val="21"/>
              </w:rPr>
              <w:t>主要是本年增加少数股东往来借款所致。</w:t>
            </w:r>
          </w:p>
        </w:tc>
      </w:tr>
      <w:tr w:rsidR="006D5885">
        <w:trPr>
          <w:trHeight w:val="450"/>
          <w:jc w:val="center"/>
        </w:trPr>
        <w:tc>
          <w:tcPr>
            <w:tcW w:w="1753"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6D5885" w:rsidRDefault="006D5885">
            <w:pPr>
              <w:widowControl/>
              <w:jc w:val="left"/>
              <w:textAlignment w:val="center"/>
              <w:rPr>
                <w:rFonts w:cs="Times New Roman"/>
                <w:color w:val="000000"/>
                <w:sz w:val="21"/>
                <w:szCs w:val="21"/>
              </w:rPr>
            </w:pPr>
            <w:r>
              <w:rPr>
                <w:rFonts w:ascii="宋体" w:hAnsi="宋体" w:hint="eastAsia"/>
                <w:color w:val="000000"/>
                <w:kern w:val="0"/>
                <w:sz w:val="21"/>
                <w:szCs w:val="21"/>
              </w:rPr>
              <w:t>递延所得税负债</w:t>
            </w:r>
          </w:p>
        </w:tc>
        <w:tc>
          <w:tcPr>
            <w:tcW w:w="1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7,050,846.51</w:t>
            </w:r>
          </w:p>
        </w:tc>
        <w:tc>
          <w:tcPr>
            <w:tcW w:w="1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10,854,434.78</w:t>
            </w:r>
          </w:p>
        </w:tc>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 xml:space="preserve"> -3,803,588.27 </w:t>
            </w:r>
          </w:p>
        </w:tc>
        <w:tc>
          <w:tcPr>
            <w:tcW w:w="11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-35.04%</w:t>
            </w:r>
          </w:p>
        </w:tc>
        <w:tc>
          <w:tcPr>
            <w:tcW w:w="2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left"/>
              <w:textAlignment w:val="center"/>
              <w:rPr>
                <w:rFonts w:cs="Times New Roman"/>
                <w:color w:val="000000"/>
                <w:sz w:val="21"/>
                <w:szCs w:val="21"/>
              </w:rPr>
            </w:pPr>
            <w:r>
              <w:rPr>
                <w:rFonts w:ascii="宋体" w:hAnsi="宋体" w:hint="eastAsia"/>
                <w:color w:val="000000"/>
                <w:kern w:val="0"/>
                <w:sz w:val="21"/>
                <w:szCs w:val="21"/>
              </w:rPr>
              <w:t>主要是公司全资子公司公用国际收到分红缴纳递延所得税影响所致。</w:t>
            </w:r>
          </w:p>
        </w:tc>
      </w:tr>
      <w:tr w:rsidR="006D5885">
        <w:trPr>
          <w:trHeight w:val="286"/>
          <w:jc w:val="center"/>
        </w:trPr>
        <w:tc>
          <w:tcPr>
            <w:tcW w:w="1753"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6D5885" w:rsidRDefault="006D5885">
            <w:pPr>
              <w:widowControl/>
              <w:jc w:val="center"/>
              <w:textAlignment w:val="center"/>
              <w:rPr>
                <w:rFonts w:cs="Times New Roman"/>
                <w:color w:val="000000"/>
                <w:sz w:val="21"/>
                <w:szCs w:val="21"/>
              </w:rPr>
            </w:pPr>
            <w:r>
              <w:rPr>
                <w:rFonts w:ascii="宋体" w:hAnsi="宋体" w:hint="eastAsia"/>
                <w:color w:val="000000"/>
                <w:kern w:val="0"/>
                <w:sz w:val="21"/>
                <w:szCs w:val="21"/>
              </w:rPr>
              <w:t>项目</w:t>
            </w:r>
          </w:p>
        </w:tc>
        <w:tc>
          <w:tcPr>
            <w:tcW w:w="1712"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6D5885" w:rsidRDefault="006D5885">
            <w:pPr>
              <w:widowControl/>
              <w:jc w:val="center"/>
              <w:textAlignment w:val="center"/>
              <w:rPr>
                <w:rFonts w:cs="Times New Roman"/>
                <w:color w:val="000000"/>
                <w:sz w:val="21"/>
                <w:szCs w:val="21"/>
              </w:rPr>
            </w:pPr>
            <w:r>
              <w:rPr>
                <w:rFonts w:ascii="宋体" w:hAnsi="宋体" w:hint="eastAsia"/>
                <w:color w:val="000000"/>
                <w:kern w:val="0"/>
                <w:sz w:val="21"/>
                <w:szCs w:val="21"/>
              </w:rPr>
              <w:t>本期发生额</w:t>
            </w:r>
          </w:p>
        </w:tc>
        <w:tc>
          <w:tcPr>
            <w:tcW w:w="1691"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6D5885" w:rsidRDefault="006D5885">
            <w:pPr>
              <w:widowControl/>
              <w:jc w:val="center"/>
              <w:textAlignment w:val="center"/>
              <w:rPr>
                <w:rFonts w:cs="Times New Roman"/>
                <w:color w:val="000000"/>
                <w:sz w:val="21"/>
                <w:szCs w:val="21"/>
              </w:rPr>
            </w:pPr>
            <w:r>
              <w:rPr>
                <w:rFonts w:ascii="宋体" w:hAnsi="宋体" w:hint="eastAsia"/>
                <w:color w:val="000000"/>
                <w:kern w:val="0"/>
                <w:sz w:val="21"/>
                <w:szCs w:val="21"/>
              </w:rPr>
              <w:t>上期发生额</w:t>
            </w:r>
          </w:p>
        </w:tc>
        <w:tc>
          <w:tcPr>
            <w:tcW w:w="1777"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6D5885" w:rsidRDefault="006D5885">
            <w:pPr>
              <w:widowControl/>
              <w:jc w:val="center"/>
              <w:textAlignment w:val="center"/>
              <w:rPr>
                <w:rFonts w:cs="Times New Roman"/>
                <w:color w:val="000000"/>
                <w:sz w:val="21"/>
                <w:szCs w:val="21"/>
              </w:rPr>
            </w:pPr>
            <w:r>
              <w:rPr>
                <w:rFonts w:ascii="宋体" w:hAnsi="宋体" w:hint="eastAsia"/>
                <w:color w:val="000000"/>
                <w:kern w:val="0"/>
                <w:sz w:val="21"/>
                <w:szCs w:val="21"/>
              </w:rPr>
              <w:t>增减变化</w:t>
            </w:r>
          </w:p>
        </w:tc>
        <w:tc>
          <w:tcPr>
            <w:tcW w:w="1142"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6D5885" w:rsidRDefault="006D5885">
            <w:pPr>
              <w:widowControl/>
              <w:jc w:val="center"/>
              <w:textAlignment w:val="center"/>
              <w:rPr>
                <w:rFonts w:cs="Times New Roman"/>
                <w:color w:val="000000"/>
                <w:sz w:val="21"/>
                <w:szCs w:val="21"/>
              </w:rPr>
            </w:pPr>
            <w:r>
              <w:rPr>
                <w:rFonts w:ascii="宋体" w:hAnsi="宋体" w:hint="eastAsia"/>
                <w:color w:val="000000"/>
                <w:kern w:val="0"/>
                <w:sz w:val="21"/>
                <w:szCs w:val="21"/>
              </w:rPr>
              <w:t>增减变动率</w:t>
            </w:r>
          </w:p>
        </w:tc>
        <w:tc>
          <w:tcPr>
            <w:tcW w:w="2050"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6D5885" w:rsidRDefault="006D5885">
            <w:pPr>
              <w:widowControl/>
              <w:jc w:val="center"/>
              <w:textAlignment w:val="center"/>
              <w:rPr>
                <w:rFonts w:cs="Times New Roman"/>
                <w:color w:val="000000"/>
                <w:sz w:val="21"/>
                <w:szCs w:val="21"/>
              </w:rPr>
            </w:pPr>
            <w:r>
              <w:rPr>
                <w:rFonts w:ascii="宋体" w:hAnsi="宋体" w:hint="eastAsia"/>
                <w:color w:val="000000"/>
                <w:kern w:val="0"/>
                <w:sz w:val="21"/>
                <w:szCs w:val="21"/>
              </w:rPr>
              <w:t>变动原因说明</w:t>
            </w:r>
          </w:p>
        </w:tc>
      </w:tr>
      <w:tr w:rsidR="006D5885">
        <w:trPr>
          <w:trHeight w:val="450"/>
          <w:jc w:val="center"/>
        </w:trPr>
        <w:tc>
          <w:tcPr>
            <w:tcW w:w="1753"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6D5885" w:rsidRDefault="006D5885">
            <w:pPr>
              <w:widowControl/>
              <w:jc w:val="left"/>
              <w:textAlignment w:val="center"/>
              <w:rPr>
                <w:rFonts w:cs="Times New Roman"/>
                <w:color w:val="000000"/>
                <w:sz w:val="21"/>
                <w:szCs w:val="21"/>
              </w:rPr>
            </w:pPr>
            <w:r>
              <w:rPr>
                <w:rFonts w:ascii="宋体" w:hAnsi="宋体" w:hint="eastAsia"/>
                <w:color w:val="000000"/>
                <w:kern w:val="0"/>
                <w:sz w:val="21"/>
                <w:szCs w:val="21"/>
              </w:rPr>
              <w:t>资产减值损失</w:t>
            </w:r>
          </w:p>
        </w:tc>
        <w:tc>
          <w:tcPr>
            <w:tcW w:w="1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2,102,431.76</w:t>
            </w:r>
          </w:p>
        </w:tc>
        <w:tc>
          <w:tcPr>
            <w:tcW w:w="1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1,610,908.79</w:t>
            </w:r>
          </w:p>
        </w:tc>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 xml:space="preserve"> 491,522.97 </w:t>
            </w:r>
          </w:p>
        </w:tc>
        <w:tc>
          <w:tcPr>
            <w:tcW w:w="11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30.51%</w:t>
            </w:r>
          </w:p>
        </w:tc>
        <w:tc>
          <w:tcPr>
            <w:tcW w:w="2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left"/>
              <w:textAlignment w:val="center"/>
              <w:rPr>
                <w:rFonts w:cs="Times New Roman"/>
                <w:color w:val="000000"/>
                <w:sz w:val="21"/>
                <w:szCs w:val="21"/>
              </w:rPr>
            </w:pPr>
            <w:r>
              <w:rPr>
                <w:rFonts w:ascii="宋体" w:hAnsi="宋体" w:hint="eastAsia"/>
                <w:color w:val="000000"/>
                <w:kern w:val="0"/>
                <w:sz w:val="21"/>
                <w:szCs w:val="21"/>
              </w:rPr>
              <w:t>主要是本年计提应收账款坏账准备增加所致。</w:t>
            </w:r>
          </w:p>
        </w:tc>
      </w:tr>
      <w:tr w:rsidR="006D5885">
        <w:trPr>
          <w:trHeight w:val="675"/>
          <w:jc w:val="center"/>
        </w:trPr>
        <w:tc>
          <w:tcPr>
            <w:tcW w:w="1753"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6D5885" w:rsidRDefault="006D5885">
            <w:pPr>
              <w:widowControl/>
              <w:jc w:val="left"/>
              <w:textAlignment w:val="center"/>
              <w:rPr>
                <w:rFonts w:cs="Times New Roman"/>
                <w:color w:val="000000"/>
                <w:sz w:val="21"/>
                <w:szCs w:val="21"/>
              </w:rPr>
            </w:pPr>
            <w:r>
              <w:rPr>
                <w:rFonts w:ascii="宋体" w:hAnsi="宋体" w:hint="eastAsia"/>
                <w:color w:val="000000"/>
                <w:kern w:val="0"/>
                <w:sz w:val="21"/>
                <w:szCs w:val="21"/>
              </w:rPr>
              <w:t>投资收益</w:t>
            </w:r>
          </w:p>
        </w:tc>
        <w:tc>
          <w:tcPr>
            <w:tcW w:w="1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505,285,476.31</w:t>
            </w:r>
          </w:p>
        </w:tc>
        <w:tc>
          <w:tcPr>
            <w:tcW w:w="1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742,596,373.40</w:t>
            </w:r>
          </w:p>
        </w:tc>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 xml:space="preserve"> -237,310,897.09 </w:t>
            </w:r>
          </w:p>
        </w:tc>
        <w:tc>
          <w:tcPr>
            <w:tcW w:w="11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-31.96%</w:t>
            </w:r>
          </w:p>
        </w:tc>
        <w:tc>
          <w:tcPr>
            <w:tcW w:w="2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left"/>
              <w:textAlignment w:val="center"/>
              <w:rPr>
                <w:rFonts w:cs="Times New Roman"/>
                <w:color w:val="000000"/>
                <w:sz w:val="21"/>
                <w:szCs w:val="21"/>
              </w:rPr>
            </w:pPr>
            <w:r>
              <w:rPr>
                <w:rFonts w:ascii="宋体" w:hAnsi="宋体" w:hint="eastAsia"/>
                <w:color w:val="000000"/>
                <w:kern w:val="0"/>
                <w:sz w:val="21"/>
                <w:szCs w:val="21"/>
              </w:rPr>
              <w:t>主要是权益法核算下的被投资单位投资收益减少所致。</w:t>
            </w:r>
          </w:p>
        </w:tc>
      </w:tr>
      <w:tr w:rsidR="006D5885">
        <w:trPr>
          <w:trHeight w:val="450"/>
          <w:jc w:val="center"/>
        </w:trPr>
        <w:tc>
          <w:tcPr>
            <w:tcW w:w="1753"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6D5885" w:rsidRDefault="006D5885">
            <w:pPr>
              <w:widowControl/>
              <w:jc w:val="left"/>
              <w:textAlignment w:val="center"/>
              <w:rPr>
                <w:rFonts w:cs="Times New Roman"/>
                <w:color w:val="000000"/>
                <w:sz w:val="21"/>
                <w:szCs w:val="21"/>
              </w:rPr>
            </w:pPr>
            <w:r>
              <w:rPr>
                <w:rFonts w:ascii="宋体" w:hAnsi="宋体" w:hint="eastAsia"/>
                <w:color w:val="000000"/>
                <w:kern w:val="0"/>
                <w:sz w:val="21"/>
                <w:szCs w:val="21"/>
              </w:rPr>
              <w:t>资产处置收益</w:t>
            </w:r>
          </w:p>
        </w:tc>
        <w:tc>
          <w:tcPr>
            <w:tcW w:w="1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-87,397.44</w:t>
            </w:r>
          </w:p>
        </w:tc>
        <w:tc>
          <w:tcPr>
            <w:tcW w:w="1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4,478,874.10</w:t>
            </w:r>
          </w:p>
        </w:tc>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 xml:space="preserve"> -4,566,271.54 </w:t>
            </w:r>
          </w:p>
        </w:tc>
        <w:tc>
          <w:tcPr>
            <w:tcW w:w="11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-101.95%</w:t>
            </w:r>
          </w:p>
        </w:tc>
        <w:tc>
          <w:tcPr>
            <w:tcW w:w="2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left"/>
              <w:textAlignment w:val="center"/>
              <w:rPr>
                <w:rFonts w:cs="Times New Roman"/>
                <w:color w:val="000000"/>
                <w:sz w:val="21"/>
                <w:szCs w:val="21"/>
              </w:rPr>
            </w:pPr>
            <w:r>
              <w:rPr>
                <w:rFonts w:ascii="宋体" w:hAnsi="宋体" w:hint="eastAsia"/>
                <w:color w:val="000000"/>
                <w:kern w:val="0"/>
                <w:sz w:val="21"/>
                <w:szCs w:val="21"/>
              </w:rPr>
              <w:t>主要是公司控股子公司中港客运上年处置“岐江轮”轮船收益所致，本年无。</w:t>
            </w:r>
          </w:p>
        </w:tc>
      </w:tr>
      <w:tr w:rsidR="006D5885">
        <w:trPr>
          <w:trHeight w:val="450"/>
          <w:jc w:val="center"/>
        </w:trPr>
        <w:tc>
          <w:tcPr>
            <w:tcW w:w="1753"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6D5885" w:rsidRDefault="006D5885">
            <w:pPr>
              <w:widowControl/>
              <w:jc w:val="left"/>
              <w:textAlignment w:val="center"/>
              <w:rPr>
                <w:rFonts w:cs="Times New Roman"/>
                <w:color w:val="000000"/>
                <w:sz w:val="21"/>
                <w:szCs w:val="21"/>
              </w:rPr>
            </w:pPr>
            <w:r>
              <w:rPr>
                <w:rFonts w:ascii="宋体" w:hAnsi="宋体" w:hint="eastAsia"/>
                <w:color w:val="000000"/>
                <w:kern w:val="0"/>
                <w:sz w:val="21"/>
                <w:szCs w:val="21"/>
              </w:rPr>
              <w:t>经营活动产生的现金流量净额</w:t>
            </w:r>
          </w:p>
        </w:tc>
        <w:tc>
          <w:tcPr>
            <w:tcW w:w="1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375,169,723.83</w:t>
            </w:r>
          </w:p>
        </w:tc>
        <w:tc>
          <w:tcPr>
            <w:tcW w:w="1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387,046,683.17</w:t>
            </w:r>
          </w:p>
        </w:tc>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 xml:space="preserve"> -11,876,959.34 </w:t>
            </w:r>
          </w:p>
        </w:tc>
        <w:tc>
          <w:tcPr>
            <w:tcW w:w="11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-3.07%</w:t>
            </w:r>
          </w:p>
        </w:tc>
        <w:tc>
          <w:tcPr>
            <w:tcW w:w="2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jc w:val="left"/>
              <w:rPr>
                <w:rFonts w:cs="Times New Roman"/>
                <w:color w:val="000000"/>
                <w:sz w:val="21"/>
                <w:szCs w:val="21"/>
              </w:rPr>
            </w:pPr>
            <w:r>
              <w:rPr>
                <w:rFonts w:cs="Times New Roman"/>
                <w:color w:val="000000"/>
                <w:sz w:val="21"/>
                <w:szCs w:val="21"/>
              </w:rPr>
              <w:t>-</w:t>
            </w:r>
          </w:p>
        </w:tc>
      </w:tr>
      <w:tr w:rsidR="006D5885">
        <w:trPr>
          <w:trHeight w:val="450"/>
          <w:jc w:val="center"/>
        </w:trPr>
        <w:tc>
          <w:tcPr>
            <w:tcW w:w="1753"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6D5885" w:rsidRDefault="006D5885">
            <w:pPr>
              <w:widowControl/>
              <w:jc w:val="left"/>
              <w:textAlignment w:val="center"/>
              <w:rPr>
                <w:rFonts w:cs="Times New Roman"/>
                <w:color w:val="000000"/>
                <w:sz w:val="21"/>
                <w:szCs w:val="21"/>
              </w:rPr>
            </w:pPr>
            <w:r>
              <w:rPr>
                <w:rFonts w:ascii="宋体" w:hAnsi="宋体" w:hint="eastAsia"/>
                <w:color w:val="000000"/>
                <w:kern w:val="0"/>
                <w:sz w:val="21"/>
                <w:szCs w:val="21"/>
              </w:rPr>
              <w:t>投资活动产生的现金流量净额</w:t>
            </w:r>
          </w:p>
        </w:tc>
        <w:tc>
          <w:tcPr>
            <w:tcW w:w="1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-554,032,262.76</w:t>
            </w:r>
          </w:p>
        </w:tc>
        <w:tc>
          <w:tcPr>
            <w:tcW w:w="1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222,995,761.08</w:t>
            </w:r>
          </w:p>
        </w:tc>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 xml:space="preserve"> -777,028,023.84 </w:t>
            </w:r>
          </w:p>
        </w:tc>
        <w:tc>
          <w:tcPr>
            <w:tcW w:w="11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-348.45%</w:t>
            </w:r>
          </w:p>
        </w:tc>
        <w:tc>
          <w:tcPr>
            <w:tcW w:w="2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left"/>
              <w:textAlignment w:val="center"/>
              <w:rPr>
                <w:rFonts w:cs="Times New Roman"/>
                <w:color w:val="000000"/>
                <w:sz w:val="21"/>
                <w:szCs w:val="21"/>
              </w:rPr>
            </w:pPr>
            <w:r>
              <w:rPr>
                <w:rFonts w:ascii="宋体" w:hAnsi="宋体" w:hint="eastAsia"/>
                <w:color w:val="000000"/>
                <w:kern w:val="0"/>
                <w:sz w:val="21"/>
                <w:szCs w:val="21"/>
              </w:rPr>
              <w:t>主要是本年理财产品投资收支净额减少所致。</w:t>
            </w:r>
          </w:p>
        </w:tc>
      </w:tr>
      <w:tr w:rsidR="006D5885">
        <w:trPr>
          <w:trHeight w:val="900"/>
          <w:jc w:val="center"/>
        </w:trPr>
        <w:tc>
          <w:tcPr>
            <w:tcW w:w="1753"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6D5885" w:rsidRDefault="006D5885">
            <w:pPr>
              <w:widowControl/>
              <w:jc w:val="left"/>
              <w:textAlignment w:val="center"/>
              <w:rPr>
                <w:rFonts w:cs="Times New Roman"/>
                <w:color w:val="000000"/>
                <w:sz w:val="21"/>
                <w:szCs w:val="21"/>
              </w:rPr>
            </w:pPr>
            <w:r>
              <w:rPr>
                <w:rFonts w:ascii="宋体" w:hAnsi="宋体" w:hint="eastAsia"/>
                <w:color w:val="000000"/>
                <w:kern w:val="0"/>
                <w:sz w:val="21"/>
                <w:szCs w:val="21"/>
              </w:rPr>
              <w:t>筹资活动产生的现金流量净额</w:t>
            </w:r>
          </w:p>
        </w:tc>
        <w:tc>
          <w:tcPr>
            <w:tcW w:w="1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320,892,422.30</w:t>
            </w:r>
          </w:p>
        </w:tc>
        <w:tc>
          <w:tcPr>
            <w:tcW w:w="1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-511,709,308.35</w:t>
            </w:r>
          </w:p>
        </w:tc>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 xml:space="preserve"> 832,601,730.65 </w:t>
            </w:r>
          </w:p>
        </w:tc>
        <w:tc>
          <w:tcPr>
            <w:tcW w:w="11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162.71%</w:t>
            </w:r>
          </w:p>
        </w:tc>
        <w:tc>
          <w:tcPr>
            <w:tcW w:w="2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left"/>
              <w:textAlignment w:val="center"/>
              <w:rPr>
                <w:rFonts w:cs="Times New Roman"/>
                <w:color w:val="000000"/>
                <w:sz w:val="21"/>
                <w:szCs w:val="21"/>
              </w:rPr>
            </w:pPr>
            <w:r>
              <w:rPr>
                <w:rFonts w:ascii="宋体" w:hAnsi="宋体" w:hint="eastAsia"/>
                <w:color w:val="000000"/>
                <w:kern w:val="0"/>
                <w:sz w:val="21"/>
                <w:szCs w:val="21"/>
              </w:rPr>
              <w:t>主要是本年收到发行公司债</w:t>
            </w:r>
            <w:r>
              <w:rPr>
                <w:rFonts w:ascii="宋体" w:hAnsi="宋体"/>
                <w:color w:val="000000"/>
                <w:kern w:val="0"/>
                <w:sz w:val="21"/>
                <w:szCs w:val="21"/>
              </w:rPr>
              <w:t>10</w:t>
            </w:r>
            <w:r>
              <w:rPr>
                <w:rFonts w:ascii="宋体" w:hAnsi="宋体" w:hint="eastAsia"/>
                <w:color w:val="000000"/>
                <w:kern w:val="0"/>
                <w:sz w:val="21"/>
                <w:szCs w:val="21"/>
              </w:rPr>
              <w:t>亿元、收到短期银行借款减少</w:t>
            </w:r>
            <w:r>
              <w:rPr>
                <w:rFonts w:ascii="宋体" w:hAnsi="宋体"/>
                <w:color w:val="000000"/>
                <w:kern w:val="0"/>
                <w:sz w:val="21"/>
                <w:szCs w:val="21"/>
              </w:rPr>
              <w:t>3</w:t>
            </w:r>
            <w:r>
              <w:rPr>
                <w:rFonts w:ascii="宋体" w:hAnsi="宋体" w:hint="eastAsia"/>
                <w:color w:val="000000"/>
                <w:kern w:val="0"/>
                <w:sz w:val="21"/>
                <w:szCs w:val="21"/>
              </w:rPr>
              <w:t>亿元</w:t>
            </w:r>
            <w:r>
              <w:rPr>
                <w:rFonts w:ascii="宋体" w:hAnsi="宋体"/>
                <w:color w:val="000000"/>
                <w:kern w:val="0"/>
                <w:sz w:val="21"/>
                <w:szCs w:val="21"/>
              </w:rPr>
              <w:t xml:space="preserve"> </w:t>
            </w:r>
            <w:r>
              <w:rPr>
                <w:rFonts w:ascii="宋体" w:hAnsi="宋体" w:hint="eastAsia"/>
                <w:color w:val="000000"/>
                <w:kern w:val="0"/>
                <w:sz w:val="21"/>
                <w:szCs w:val="21"/>
              </w:rPr>
              <w:t>、偿还短期银行借款减少</w:t>
            </w:r>
            <w:r>
              <w:rPr>
                <w:rFonts w:ascii="宋体" w:hAnsi="宋体"/>
                <w:color w:val="000000"/>
                <w:kern w:val="0"/>
                <w:sz w:val="21"/>
                <w:szCs w:val="21"/>
              </w:rPr>
              <w:t>1.5</w:t>
            </w:r>
            <w:r>
              <w:rPr>
                <w:rFonts w:ascii="宋体" w:hAnsi="宋体" w:hint="eastAsia"/>
                <w:color w:val="000000"/>
                <w:kern w:val="0"/>
                <w:sz w:val="21"/>
                <w:szCs w:val="21"/>
              </w:rPr>
              <w:t>亿元。</w:t>
            </w:r>
          </w:p>
        </w:tc>
      </w:tr>
      <w:tr w:rsidR="006D5885">
        <w:trPr>
          <w:trHeight w:val="450"/>
          <w:jc w:val="center"/>
        </w:trPr>
        <w:tc>
          <w:tcPr>
            <w:tcW w:w="1753"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6D5885" w:rsidRDefault="006D5885">
            <w:pPr>
              <w:widowControl/>
              <w:jc w:val="left"/>
              <w:textAlignment w:val="center"/>
              <w:rPr>
                <w:rFonts w:cs="Times New Roman"/>
                <w:color w:val="000000"/>
                <w:sz w:val="21"/>
                <w:szCs w:val="21"/>
              </w:rPr>
            </w:pPr>
            <w:r>
              <w:rPr>
                <w:rFonts w:ascii="宋体" w:hAnsi="宋体" w:hint="eastAsia"/>
                <w:color w:val="000000"/>
                <w:kern w:val="0"/>
                <w:sz w:val="21"/>
                <w:szCs w:val="21"/>
              </w:rPr>
              <w:t>汇率变动对现金及现金等价物的影响</w:t>
            </w:r>
          </w:p>
        </w:tc>
        <w:tc>
          <w:tcPr>
            <w:tcW w:w="1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2,328,744.97</w:t>
            </w:r>
          </w:p>
        </w:tc>
        <w:tc>
          <w:tcPr>
            <w:tcW w:w="1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-617,194.90</w:t>
            </w:r>
          </w:p>
        </w:tc>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 xml:space="preserve"> 2,945,939.87 </w:t>
            </w:r>
          </w:p>
        </w:tc>
        <w:tc>
          <w:tcPr>
            <w:tcW w:w="11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477.31%</w:t>
            </w:r>
          </w:p>
        </w:tc>
        <w:tc>
          <w:tcPr>
            <w:tcW w:w="2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left"/>
              <w:textAlignment w:val="center"/>
              <w:rPr>
                <w:rFonts w:cs="Times New Roman"/>
                <w:color w:val="000000"/>
                <w:sz w:val="21"/>
                <w:szCs w:val="21"/>
              </w:rPr>
            </w:pPr>
            <w:r>
              <w:rPr>
                <w:rFonts w:ascii="宋体" w:hAnsi="宋体" w:hint="eastAsia"/>
                <w:color w:val="000000"/>
                <w:kern w:val="0"/>
                <w:sz w:val="21"/>
                <w:szCs w:val="21"/>
              </w:rPr>
              <w:t>主要是外币报表折算汇率影响所致。</w:t>
            </w:r>
          </w:p>
        </w:tc>
      </w:tr>
      <w:tr w:rsidR="006D5885">
        <w:trPr>
          <w:trHeight w:val="450"/>
          <w:jc w:val="center"/>
        </w:trPr>
        <w:tc>
          <w:tcPr>
            <w:tcW w:w="1753"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6D5885" w:rsidRDefault="006D5885">
            <w:pPr>
              <w:widowControl/>
              <w:jc w:val="left"/>
              <w:textAlignment w:val="center"/>
              <w:rPr>
                <w:rFonts w:cs="Times New Roman"/>
                <w:color w:val="000000"/>
                <w:sz w:val="21"/>
                <w:szCs w:val="21"/>
              </w:rPr>
            </w:pPr>
            <w:r>
              <w:rPr>
                <w:rFonts w:ascii="宋体" w:hAnsi="宋体" w:hint="eastAsia"/>
                <w:color w:val="000000"/>
                <w:kern w:val="0"/>
                <w:sz w:val="21"/>
                <w:szCs w:val="21"/>
              </w:rPr>
              <w:t>现金及现金等价物净增加额</w:t>
            </w:r>
          </w:p>
        </w:tc>
        <w:tc>
          <w:tcPr>
            <w:tcW w:w="1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144,358,628.34</w:t>
            </w:r>
          </w:p>
        </w:tc>
        <w:tc>
          <w:tcPr>
            <w:tcW w:w="1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97,715,941.00</w:t>
            </w:r>
          </w:p>
        </w:tc>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 xml:space="preserve"> 46,642,687.34 </w:t>
            </w:r>
          </w:p>
        </w:tc>
        <w:tc>
          <w:tcPr>
            <w:tcW w:w="11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widowControl/>
              <w:jc w:val="right"/>
              <w:textAlignment w:val="center"/>
              <w:rPr>
                <w:rFonts w:cs="Times New Roman"/>
                <w:color w:val="000000"/>
                <w:sz w:val="21"/>
                <w:szCs w:val="21"/>
              </w:rPr>
            </w:pPr>
            <w:r>
              <w:rPr>
                <w:rFonts w:ascii="宋体" w:hAnsi="宋体"/>
                <w:color w:val="000000"/>
                <w:kern w:val="0"/>
                <w:sz w:val="21"/>
                <w:szCs w:val="21"/>
              </w:rPr>
              <w:t>47.73%</w:t>
            </w:r>
          </w:p>
        </w:tc>
        <w:tc>
          <w:tcPr>
            <w:tcW w:w="2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85" w:rsidRDefault="006D5885">
            <w:pPr>
              <w:jc w:val="left"/>
              <w:rPr>
                <w:rFonts w:cs="Times New Roman"/>
                <w:color w:val="000000"/>
                <w:sz w:val="21"/>
                <w:szCs w:val="21"/>
              </w:rPr>
            </w:pPr>
            <w:r>
              <w:rPr>
                <w:rFonts w:cs="Times New Roman"/>
                <w:color w:val="000000"/>
                <w:sz w:val="21"/>
                <w:szCs w:val="21"/>
              </w:rPr>
              <w:t>-</w:t>
            </w:r>
          </w:p>
        </w:tc>
      </w:tr>
    </w:tbl>
    <w:p w:rsidR="006D5885" w:rsidRDefault="006D5885">
      <w:pPr>
        <w:pStyle w:val="Chapter"/>
        <w:spacing w:before="0" w:after="0" w:line="360" w:lineRule="auto"/>
        <w:outlineLvl w:val="1"/>
        <w:rPr>
          <w:rFonts w:cs="Times New Roman"/>
        </w:rPr>
      </w:pPr>
      <w:r>
        <w:rPr>
          <w:rFonts w:ascii="宋体" w:hAnsi="宋体" w:hint="eastAsia"/>
        </w:rPr>
        <w:t>二、重要事项进展情况及其影响和解决方案的分析说明</w:t>
      </w:r>
    </w:p>
    <w:p w:rsidR="006D5885" w:rsidRDefault="006D5885">
      <w:pPr>
        <w:autoSpaceDE w:val="0"/>
        <w:autoSpaceDN w:val="0"/>
        <w:adjustRightInd w:val="0"/>
        <w:spacing w:before="0" w:after="0" w:line="360" w:lineRule="auto"/>
        <w:jc w:val="left"/>
        <w:rPr>
          <w:rFonts w:ascii="宋体" w:hAnsi="宋体"/>
          <w:sz w:val="24"/>
          <w:szCs w:val="24"/>
          <w:lang w:val="zh-CN"/>
        </w:rPr>
      </w:pPr>
      <w:r>
        <w:rPr>
          <w:rFonts w:ascii="宋体" w:hAnsi="宋体" w:hint="eastAsia"/>
          <w:sz w:val="24"/>
          <w:szCs w:val="24"/>
          <w:lang w:val="zh-CN"/>
        </w:rPr>
        <w:t>√</w:t>
      </w:r>
      <w:r>
        <w:rPr>
          <w:rFonts w:ascii="宋体" w:hAnsi="宋体"/>
          <w:sz w:val="24"/>
          <w:szCs w:val="24"/>
          <w:lang w:val="zh-CN"/>
        </w:rPr>
        <w:t xml:space="preserve"> </w:t>
      </w:r>
      <w:r>
        <w:rPr>
          <w:rFonts w:ascii="宋体" w:hAnsi="宋体" w:hint="eastAsia"/>
          <w:sz w:val="24"/>
          <w:szCs w:val="24"/>
          <w:lang w:val="zh-CN"/>
        </w:rPr>
        <w:t>适用</w:t>
      </w:r>
      <w:r>
        <w:rPr>
          <w:rFonts w:ascii="宋体" w:hAnsi="宋体"/>
          <w:sz w:val="24"/>
          <w:szCs w:val="24"/>
          <w:lang w:val="zh-CN"/>
        </w:rPr>
        <w:t xml:space="preserve"> </w:t>
      </w:r>
      <w:r>
        <w:rPr>
          <w:rFonts w:ascii="宋体" w:hAnsi="宋体" w:hint="eastAsia"/>
          <w:sz w:val="24"/>
          <w:szCs w:val="24"/>
          <w:lang w:val="zh-CN"/>
        </w:rPr>
        <w:t>□</w:t>
      </w:r>
      <w:r>
        <w:rPr>
          <w:rFonts w:ascii="宋体" w:hAnsi="宋体"/>
          <w:sz w:val="24"/>
          <w:szCs w:val="24"/>
          <w:lang w:val="zh-CN"/>
        </w:rPr>
        <w:t xml:space="preserve"> </w:t>
      </w:r>
      <w:r>
        <w:rPr>
          <w:rFonts w:ascii="宋体" w:hAnsi="宋体" w:hint="eastAsia"/>
          <w:sz w:val="24"/>
          <w:szCs w:val="24"/>
          <w:lang w:val="zh-CN"/>
        </w:rPr>
        <w:t>不适用</w:t>
      </w:r>
      <w:r>
        <w:rPr>
          <w:rFonts w:ascii="宋体" w:hAnsi="宋体"/>
          <w:sz w:val="24"/>
          <w:szCs w:val="24"/>
          <w:lang w:val="zh-CN"/>
        </w:rPr>
        <w:t xml:space="preserve"> </w:t>
      </w:r>
    </w:p>
    <w:tbl>
      <w:tblPr>
        <w:tblW w:w="0" w:type="auto"/>
        <w:jc w:val="center"/>
        <w:tblLayout w:type="fixed"/>
        <w:tblLook w:val="0000" w:firstRow="0" w:lastRow="0" w:firstColumn="0" w:lastColumn="0" w:noHBand="0" w:noVBand="0"/>
      </w:tblPr>
      <w:tblGrid>
        <w:gridCol w:w="3189"/>
        <w:gridCol w:w="3191"/>
        <w:gridCol w:w="3189"/>
      </w:tblGrid>
      <w:tr w:rsidR="006D5885">
        <w:trPr>
          <w:jc w:val="center"/>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autoSpaceDE w:val="0"/>
              <w:autoSpaceDN w:val="0"/>
              <w:adjustRightInd w:val="0"/>
              <w:spacing w:before="0" w:after="0"/>
              <w:jc w:val="left"/>
              <w:rPr>
                <w:rFonts w:cs="Times New Roman"/>
                <w:sz w:val="21"/>
                <w:szCs w:val="21"/>
              </w:rPr>
            </w:pPr>
            <w:r>
              <w:rPr>
                <w:rFonts w:ascii="宋体" w:hAnsi="宋体"/>
                <w:sz w:val="21"/>
                <w:szCs w:val="21"/>
                <w:lang w:val="zh-CN"/>
              </w:rPr>
              <w:t xml:space="preserve"> </w:t>
            </w:r>
            <w:r>
              <w:rPr>
                <w:rFonts w:ascii="宋体" w:hAnsi="宋体" w:hint="eastAsia"/>
                <w:sz w:val="21"/>
                <w:szCs w:val="21"/>
              </w:rPr>
              <w:t>重要事项概述</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披露日期</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临时报告披露网站查询索引</w:t>
            </w:r>
          </w:p>
        </w:tc>
      </w:tr>
      <w:tr w:rsidR="006D5885">
        <w:trPr>
          <w:jc w:val="center"/>
        </w:trPr>
        <w:tc>
          <w:tcPr>
            <w:tcW w:w="3189"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r>
              <w:rPr>
                <w:rFonts w:ascii="宋体" w:hAnsi="宋体" w:hint="eastAsia"/>
                <w:sz w:val="21"/>
                <w:szCs w:val="21"/>
              </w:rPr>
              <w:t>关于现金收购广东名城环境科技股份有限公司</w:t>
            </w:r>
            <w:r>
              <w:rPr>
                <w:rFonts w:ascii="宋体" w:hAnsi="宋体"/>
                <w:sz w:val="21"/>
                <w:szCs w:val="21"/>
              </w:rPr>
              <w:t>95.50%</w:t>
            </w:r>
            <w:r>
              <w:rPr>
                <w:rFonts w:ascii="宋体" w:hAnsi="宋体" w:hint="eastAsia"/>
                <w:sz w:val="21"/>
                <w:szCs w:val="21"/>
              </w:rPr>
              <w:t>股权的事宜</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sz w:val="21"/>
                <w:szCs w:val="21"/>
              </w:rPr>
              <w:t>2018</w:t>
            </w:r>
            <w:r>
              <w:rPr>
                <w:rFonts w:ascii="宋体" w:hAnsi="宋体" w:hint="eastAsia"/>
                <w:sz w:val="21"/>
                <w:szCs w:val="21"/>
              </w:rPr>
              <w:t>年</w:t>
            </w:r>
            <w:r>
              <w:rPr>
                <w:rFonts w:ascii="宋体" w:hAnsi="宋体"/>
                <w:sz w:val="21"/>
                <w:szCs w:val="21"/>
              </w:rPr>
              <w:t>06</w:t>
            </w:r>
            <w:r>
              <w:rPr>
                <w:rFonts w:ascii="宋体" w:hAnsi="宋体" w:hint="eastAsia"/>
                <w:sz w:val="21"/>
                <w:szCs w:val="21"/>
              </w:rPr>
              <w:t>月</w:t>
            </w:r>
            <w:r>
              <w:rPr>
                <w:rFonts w:ascii="宋体" w:hAnsi="宋体"/>
                <w:sz w:val="21"/>
                <w:szCs w:val="21"/>
              </w:rPr>
              <w:t>28</w:t>
            </w:r>
            <w:r>
              <w:rPr>
                <w:rFonts w:ascii="宋体" w:hAnsi="宋体" w:hint="eastAsia"/>
                <w:sz w:val="21"/>
                <w:szCs w:val="21"/>
              </w:rPr>
              <w:t>日</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巨潮资讯网（</w:t>
            </w:r>
            <w:r>
              <w:rPr>
                <w:rFonts w:ascii="宋体" w:hAnsi="宋体"/>
                <w:sz w:val="21"/>
                <w:szCs w:val="21"/>
              </w:rPr>
              <w:t>http://www.cninfo.com.cn</w:t>
            </w:r>
            <w:r>
              <w:rPr>
                <w:rFonts w:ascii="宋体" w:hAnsi="宋体" w:hint="eastAsia"/>
                <w:sz w:val="21"/>
                <w:szCs w:val="21"/>
              </w:rPr>
              <w:t>）披露了《关于购买广东名城环境科技股份有限公司部分股权暨关联交易处于筹划阶段的提示性公告》（公告编号：</w:t>
            </w:r>
            <w:r>
              <w:rPr>
                <w:rFonts w:ascii="宋体" w:hAnsi="宋体"/>
                <w:sz w:val="21"/>
                <w:szCs w:val="21"/>
              </w:rPr>
              <w:t>2018-053</w:t>
            </w:r>
            <w:r>
              <w:rPr>
                <w:rFonts w:ascii="宋体" w:hAnsi="宋体" w:hint="eastAsia"/>
                <w:sz w:val="21"/>
                <w:szCs w:val="21"/>
              </w:rPr>
              <w:t>）。</w:t>
            </w:r>
          </w:p>
        </w:tc>
      </w:tr>
      <w:tr w:rsidR="006D5885">
        <w:trPr>
          <w:jc w:val="center"/>
        </w:trPr>
        <w:tc>
          <w:tcPr>
            <w:tcW w:w="3189" w:type="dxa"/>
            <w:vMerge/>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sz w:val="21"/>
                <w:szCs w:val="21"/>
              </w:rPr>
              <w:t>2018</w:t>
            </w:r>
            <w:r>
              <w:rPr>
                <w:rFonts w:ascii="宋体" w:hAnsi="宋体" w:hint="eastAsia"/>
                <w:sz w:val="21"/>
                <w:szCs w:val="21"/>
              </w:rPr>
              <w:t>年</w:t>
            </w:r>
            <w:r>
              <w:rPr>
                <w:rFonts w:ascii="宋体" w:hAnsi="宋体"/>
                <w:sz w:val="21"/>
                <w:szCs w:val="21"/>
              </w:rPr>
              <w:t>07</w:t>
            </w:r>
            <w:r>
              <w:rPr>
                <w:rFonts w:ascii="宋体" w:hAnsi="宋体" w:hint="eastAsia"/>
                <w:sz w:val="21"/>
                <w:szCs w:val="21"/>
              </w:rPr>
              <w:t>月</w:t>
            </w:r>
            <w:r>
              <w:rPr>
                <w:rFonts w:ascii="宋体" w:hAnsi="宋体"/>
                <w:sz w:val="21"/>
                <w:szCs w:val="21"/>
              </w:rPr>
              <w:t>10</w:t>
            </w:r>
            <w:r>
              <w:rPr>
                <w:rFonts w:ascii="宋体" w:hAnsi="宋体" w:hint="eastAsia"/>
                <w:sz w:val="21"/>
                <w:szCs w:val="21"/>
              </w:rPr>
              <w:t>日</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巨潮资讯网（</w:t>
            </w:r>
            <w:r>
              <w:rPr>
                <w:rFonts w:ascii="宋体" w:hAnsi="宋体"/>
                <w:sz w:val="21"/>
                <w:szCs w:val="21"/>
              </w:rPr>
              <w:t>http://www.cninfo.com.cn</w:t>
            </w:r>
            <w:r>
              <w:rPr>
                <w:rFonts w:ascii="宋体" w:hAnsi="宋体" w:hint="eastAsia"/>
                <w:sz w:val="21"/>
                <w:szCs w:val="21"/>
              </w:rPr>
              <w:t>）披露了《关于现金收购广东名城环境科技股份有限公司</w:t>
            </w:r>
            <w:r>
              <w:rPr>
                <w:rFonts w:ascii="宋体" w:hAnsi="宋体"/>
                <w:sz w:val="21"/>
                <w:szCs w:val="21"/>
              </w:rPr>
              <w:t>95.50%</w:t>
            </w:r>
            <w:r>
              <w:rPr>
                <w:rFonts w:ascii="宋体" w:hAnsi="宋体" w:hint="eastAsia"/>
                <w:sz w:val="21"/>
                <w:szCs w:val="21"/>
              </w:rPr>
              <w:t>股权暨关联交易的公告》（公告编号：</w:t>
            </w:r>
            <w:r>
              <w:rPr>
                <w:rFonts w:ascii="宋体" w:hAnsi="宋体"/>
                <w:sz w:val="21"/>
                <w:szCs w:val="21"/>
              </w:rPr>
              <w:t>2018-057</w:t>
            </w:r>
            <w:r>
              <w:rPr>
                <w:rFonts w:ascii="宋体" w:hAnsi="宋体" w:hint="eastAsia"/>
                <w:sz w:val="21"/>
                <w:szCs w:val="21"/>
              </w:rPr>
              <w:t>）。</w:t>
            </w:r>
          </w:p>
        </w:tc>
      </w:tr>
      <w:tr w:rsidR="006D5885">
        <w:trPr>
          <w:jc w:val="center"/>
        </w:trPr>
        <w:tc>
          <w:tcPr>
            <w:tcW w:w="3189" w:type="dxa"/>
            <w:vMerge/>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sz w:val="21"/>
                <w:szCs w:val="21"/>
              </w:rPr>
              <w:t>2018</w:t>
            </w:r>
            <w:r>
              <w:rPr>
                <w:rFonts w:ascii="宋体" w:hAnsi="宋体" w:hint="eastAsia"/>
                <w:sz w:val="21"/>
                <w:szCs w:val="21"/>
              </w:rPr>
              <w:t>年</w:t>
            </w:r>
            <w:r>
              <w:rPr>
                <w:rFonts w:ascii="宋体" w:hAnsi="宋体"/>
                <w:sz w:val="21"/>
                <w:szCs w:val="21"/>
              </w:rPr>
              <w:t>07</w:t>
            </w:r>
            <w:r>
              <w:rPr>
                <w:rFonts w:ascii="宋体" w:hAnsi="宋体" w:hint="eastAsia"/>
                <w:sz w:val="21"/>
                <w:szCs w:val="21"/>
              </w:rPr>
              <w:t>月</w:t>
            </w:r>
            <w:r>
              <w:rPr>
                <w:rFonts w:ascii="宋体" w:hAnsi="宋体"/>
                <w:sz w:val="21"/>
                <w:szCs w:val="21"/>
              </w:rPr>
              <w:t>26</w:t>
            </w:r>
            <w:r>
              <w:rPr>
                <w:rFonts w:ascii="宋体" w:hAnsi="宋体" w:hint="eastAsia"/>
                <w:sz w:val="21"/>
                <w:szCs w:val="21"/>
              </w:rPr>
              <w:t>日</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巨潮资讯网（</w:t>
            </w:r>
            <w:r>
              <w:rPr>
                <w:rFonts w:ascii="宋体" w:hAnsi="宋体"/>
                <w:sz w:val="21"/>
                <w:szCs w:val="21"/>
              </w:rPr>
              <w:t>http://www.cninfo.com.cn</w:t>
            </w:r>
            <w:r>
              <w:rPr>
                <w:rFonts w:ascii="宋体" w:hAnsi="宋体" w:hint="eastAsia"/>
                <w:sz w:val="21"/>
                <w:szCs w:val="21"/>
              </w:rPr>
              <w:t>）披露了《关于现金收购广东名城环境科技股份有限公司</w:t>
            </w:r>
            <w:r>
              <w:rPr>
                <w:rFonts w:ascii="宋体" w:hAnsi="宋体"/>
                <w:sz w:val="21"/>
                <w:szCs w:val="21"/>
              </w:rPr>
              <w:t>95.50%</w:t>
            </w:r>
            <w:r>
              <w:rPr>
                <w:rFonts w:ascii="宋体" w:hAnsi="宋体" w:hint="eastAsia"/>
                <w:sz w:val="21"/>
                <w:szCs w:val="21"/>
              </w:rPr>
              <w:t>股权暨关联交易获中山市人民政府国有资产监督管理委员会同意批复的公告》（公告编号：</w:t>
            </w:r>
            <w:r>
              <w:rPr>
                <w:rFonts w:ascii="宋体" w:hAnsi="宋体"/>
                <w:sz w:val="21"/>
                <w:szCs w:val="21"/>
              </w:rPr>
              <w:t>2018-058</w:t>
            </w:r>
            <w:r>
              <w:rPr>
                <w:rFonts w:ascii="宋体" w:hAnsi="宋体" w:hint="eastAsia"/>
                <w:sz w:val="21"/>
                <w:szCs w:val="21"/>
              </w:rPr>
              <w:t>）。</w:t>
            </w:r>
          </w:p>
        </w:tc>
      </w:tr>
      <w:tr w:rsidR="006D5885">
        <w:trPr>
          <w:jc w:val="center"/>
        </w:trPr>
        <w:tc>
          <w:tcPr>
            <w:tcW w:w="3189" w:type="dxa"/>
            <w:vMerge/>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sz w:val="21"/>
                <w:szCs w:val="21"/>
              </w:rPr>
              <w:t>2018</w:t>
            </w:r>
            <w:r>
              <w:rPr>
                <w:rFonts w:ascii="宋体" w:hAnsi="宋体" w:hint="eastAsia"/>
                <w:sz w:val="21"/>
                <w:szCs w:val="21"/>
              </w:rPr>
              <w:t>年</w:t>
            </w:r>
            <w:r>
              <w:rPr>
                <w:rFonts w:ascii="宋体" w:hAnsi="宋体"/>
                <w:sz w:val="21"/>
                <w:szCs w:val="21"/>
              </w:rPr>
              <w:t>08</w:t>
            </w:r>
            <w:r>
              <w:rPr>
                <w:rFonts w:ascii="宋体" w:hAnsi="宋体" w:hint="eastAsia"/>
                <w:sz w:val="21"/>
                <w:szCs w:val="21"/>
              </w:rPr>
              <w:t>月</w:t>
            </w:r>
            <w:r>
              <w:rPr>
                <w:rFonts w:ascii="宋体" w:hAnsi="宋体"/>
                <w:sz w:val="21"/>
                <w:szCs w:val="21"/>
              </w:rPr>
              <w:t>23</w:t>
            </w:r>
            <w:r>
              <w:rPr>
                <w:rFonts w:ascii="宋体" w:hAnsi="宋体" w:hint="eastAsia"/>
                <w:sz w:val="21"/>
                <w:szCs w:val="21"/>
              </w:rPr>
              <w:t>日</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巨潮资讯网（</w:t>
            </w:r>
            <w:r>
              <w:rPr>
                <w:rFonts w:ascii="宋体" w:hAnsi="宋体"/>
                <w:sz w:val="21"/>
                <w:szCs w:val="21"/>
              </w:rPr>
              <w:t>http://www.cninfo.com.cn</w:t>
            </w:r>
            <w:r>
              <w:rPr>
                <w:rFonts w:ascii="宋体" w:hAnsi="宋体" w:hint="eastAsia"/>
                <w:sz w:val="21"/>
                <w:szCs w:val="21"/>
              </w:rPr>
              <w:t>）披露了《关于现金收购广东名城环境科技股份有限公司</w:t>
            </w:r>
            <w:r>
              <w:rPr>
                <w:rFonts w:ascii="宋体" w:hAnsi="宋体"/>
                <w:sz w:val="21"/>
                <w:szCs w:val="21"/>
              </w:rPr>
              <w:t>95.50%</w:t>
            </w:r>
            <w:r>
              <w:rPr>
                <w:rFonts w:ascii="宋体" w:hAnsi="宋体" w:hint="eastAsia"/>
                <w:sz w:val="21"/>
                <w:szCs w:val="21"/>
              </w:rPr>
              <w:t>股权暨关联交易的进展公告》（公告编号：</w:t>
            </w:r>
            <w:r>
              <w:rPr>
                <w:rFonts w:ascii="宋体" w:hAnsi="宋体"/>
                <w:sz w:val="21"/>
                <w:szCs w:val="21"/>
              </w:rPr>
              <w:t>2018-061</w:t>
            </w:r>
            <w:r>
              <w:rPr>
                <w:rFonts w:ascii="宋体" w:hAnsi="宋体" w:hint="eastAsia"/>
                <w:sz w:val="21"/>
                <w:szCs w:val="21"/>
              </w:rPr>
              <w:t>）。</w:t>
            </w:r>
          </w:p>
        </w:tc>
      </w:tr>
      <w:tr w:rsidR="006D5885">
        <w:trPr>
          <w:jc w:val="center"/>
        </w:trPr>
        <w:tc>
          <w:tcPr>
            <w:tcW w:w="3189" w:type="dxa"/>
            <w:vMerge/>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sz w:val="21"/>
                <w:szCs w:val="21"/>
              </w:rPr>
              <w:t>2018</w:t>
            </w:r>
            <w:r>
              <w:rPr>
                <w:rFonts w:ascii="宋体" w:hAnsi="宋体" w:hint="eastAsia"/>
                <w:sz w:val="21"/>
                <w:szCs w:val="21"/>
              </w:rPr>
              <w:t>年</w:t>
            </w:r>
            <w:r>
              <w:rPr>
                <w:rFonts w:ascii="宋体" w:hAnsi="宋体"/>
                <w:sz w:val="21"/>
                <w:szCs w:val="21"/>
              </w:rPr>
              <w:t>09</w:t>
            </w:r>
            <w:r>
              <w:rPr>
                <w:rFonts w:ascii="宋体" w:hAnsi="宋体" w:hint="eastAsia"/>
                <w:sz w:val="21"/>
                <w:szCs w:val="21"/>
              </w:rPr>
              <w:t>月</w:t>
            </w:r>
            <w:r>
              <w:rPr>
                <w:rFonts w:ascii="宋体" w:hAnsi="宋体"/>
                <w:sz w:val="21"/>
                <w:szCs w:val="21"/>
              </w:rPr>
              <w:t>21</w:t>
            </w:r>
            <w:r>
              <w:rPr>
                <w:rFonts w:ascii="宋体" w:hAnsi="宋体" w:hint="eastAsia"/>
                <w:sz w:val="21"/>
                <w:szCs w:val="21"/>
              </w:rPr>
              <w:t>日</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巨潮资讯网（</w:t>
            </w:r>
            <w:r>
              <w:rPr>
                <w:rFonts w:ascii="宋体" w:hAnsi="宋体"/>
                <w:sz w:val="21"/>
                <w:szCs w:val="21"/>
              </w:rPr>
              <w:t>http://www.cninfo.com.cn</w:t>
            </w:r>
            <w:r>
              <w:rPr>
                <w:rFonts w:ascii="宋体" w:hAnsi="宋体" w:hint="eastAsia"/>
                <w:sz w:val="21"/>
                <w:szCs w:val="21"/>
              </w:rPr>
              <w:t>）披露了《关于现金收购广东名城环境科技股份有限公司</w:t>
            </w:r>
            <w:r>
              <w:rPr>
                <w:rFonts w:ascii="宋体" w:hAnsi="宋体"/>
                <w:sz w:val="21"/>
                <w:szCs w:val="21"/>
              </w:rPr>
              <w:t>95.50%</w:t>
            </w:r>
            <w:r>
              <w:rPr>
                <w:rFonts w:ascii="宋体" w:hAnsi="宋体" w:hint="eastAsia"/>
                <w:sz w:val="21"/>
                <w:szCs w:val="21"/>
              </w:rPr>
              <w:t>股权暨关联交易的进展公告》（公告编号：</w:t>
            </w:r>
            <w:r>
              <w:rPr>
                <w:rFonts w:ascii="宋体" w:hAnsi="宋体"/>
                <w:sz w:val="21"/>
                <w:szCs w:val="21"/>
              </w:rPr>
              <w:t>2018-068</w:t>
            </w:r>
            <w:r>
              <w:rPr>
                <w:rFonts w:ascii="宋体" w:hAnsi="宋体" w:hint="eastAsia"/>
                <w:sz w:val="21"/>
                <w:szCs w:val="21"/>
              </w:rPr>
              <w:t>）。</w:t>
            </w:r>
          </w:p>
        </w:tc>
      </w:tr>
      <w:tr w:rsidR="006D5885">
        <w:trPr>
          <w:jc w:val="center"/>
        </w:trPr>
        <w:tc>
          <w:tcPr>
            <w:tcW w:w="3189"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r>
              <w:rPr>
                <w:rFonts w:ascii="宋体" w:hAnsi="宋体" w:hint="eastAsia"/>
                <w:sz w:val="21"/>
                <w:szCs w:val="21"/>
              </w:rPr>
              <w:t>公司与子公司中山公用工程有限公司共同投资设立子公司的事宜</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sz w:val="21"/>
                <w:szCs w:val="21"/>
              </w:rPr>
              <w:t>2018</w:t>
            </w:r>
            <w:r>
              <w:rPr>
                <w:rFonts w:ascii="宋体" w:hAnsi="宋体" w:hint="eastAsia"/>
                <w:sz w:val="21"/>
                <w:szCs w:val="21"/>
              </w:rPr>
              <w:t>年</w:t>
            </w:r>
            <w:r>
              <w:rPr>
                <w:rFonts w:ascii="宋体" w:hAnsi="宋体"/>
                <w:sz w:val="21"/>
                <w:szCs w:val="21"/>
              </w:rPr>
              <w:t>09</w:t>
            </w:r>
            <w:r>
              <w:rPr>
                <w:rFonts w:ascii="宋体" w:hAnsi="宋体" w:hint="eastAsia"/>
                <w:sz w:val="21"/>
                <w:szCs w:val="21"/>
              </w:rPr>
              <w:t>月</w:t>
            </w:r>
            <w:r>
              <w:rPr>
                <w:rFonts w:ascii="宋体" w:hAnsi="宋体"/>
                <w:sz w:val="21"/>
                <w:szCs w:val="21"/>
              </w:rPr>
              <w:t>11</w:t>
            </w:r>
            <w:r>
              <w:rPr>
                <w:rFonts w:ascii="宋体" w:hAnsi="宋体" w:hint="eastAsia"/>
                <w:sz w:val="21"/>
                <w:szCs w:val="21"/>
              </w:rPr>
              <w:t>日</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巨潮资讯网（</w:t>
            </w:r>
            <w:r>
              <w:rPr>
                <w:rFonts w:ascii="宋体" w:hAnsi="宋体"/>
                <w:sz w:val="21"/>
                <w:szCs w:val="21"/>
              </w:rPr>
              <w:t>http://www.cninfo.com.cn</w:t>
            </w:r>
            <w:r>
              <w:rPr>
                <w:rFonts w:ascii="宋体" w:hAnsi="宋体" w:hint="eastAsia"/>
                <w:sz w:val="21"/>
                <w:szCs w:val="21"/>
              </w:rPr>
              <w:t>）披露了《关于公司及子公司收到中标通知书的公告》（公告编号：</w:t>
            </w:r>
            <w:r>
              <w:rPr>
                <w:rFonts w:ascii="宋体" w:hAnsi="宋体"/>
                <w:sz w:val="21"/>
                <w:szCs w:val="21"/>
              </w:rPr>
              <w:t>2018-067</w:t>
            </w:r>
            <w:r>
              <w:rPr>
                <w:rFonts w:ascii="宋体" w:hAnsi="宋体" w:hint="eastAsia"/>
                <w:sz w:val="21"/>
                <w:szCs w:val="21"/>
              </w:rPr>
              <w:t>）。</w:t>
            </w:r>
          </w:p>
        </w:tc>
      </w:tr>
      <w:tr w:rsidR="006D5885">
        <w:trPr>
          <w:jc w:val="center"/>
        </w:trPr>
        <w:tc>
          <w:tcPr>
            <w:tcW w:w="3189" w:type="dxa"/>
            <w:vMerge/>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sz w:val="21"/>
                <w:szCs w:val="21"/>
              </w:rPr>
              <w:t>2018</w:t>
            </w:r>
            <w:r>
              <w:rPr>
                <w:rFonts w:ascii="宋体" w:hAnsi="宋体" w:hint="eastAsia"/>
                <w:sz w:val="21"/>
                <w:szCs w:val="21"/>
              </w:rPr>
              <w:t>年</w:t>
            </w:r>
            <w:r>
              <w:rPr>
                <w:rFonts w:ascii="宋体" w:hAnsi="宋体"/>
                <w:sz w:val="21"/>
                <w:szCs w:val="21"/>
              </w:rPr>
              <w:t>09</w:t>
            </w:r>
            <w:r>
              <w:rPr>
                <w:rFonts w:ascii="宋体" w:hAnsi="宋体" w:hint="eastAsia"/>
                <w:sz w:val="21"/>
                <w:szCs w:val="21"/>
              </w:rPr>
              <w:t>月</w:t>
            </w:r>
            <w:r>
              <w:rPr>
                <w:rFonts w:ascii="宋体" w:hAnsi="宋体"/>
                <w:sz w:val="21"/>
                <w:szCs w:val="21"/>
              </w:rPr>
              <w:t>26</w:t>
            </w:r>
            <w:r>
              <w:rPr>
                <w:rFonts w:ascii="宋体" w:hAnsi="宋体" w:hint="eastAsia"/>
                <w:sz w:val="21"/>
                <w:szCs w:val="21"/>
              </w:rPr>
              <w:t>日</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巨潮资讯网（</w:t>
            </w:r>
            <w:r>
              <w:rPr>
                <w:rFonts w:ascii="宋体" w:hAnsi="宋体"/>
                <w:sz w:val="21"/>
                <w:szCs w:val="21"/>
              </w:rPr>
              <w:t>http://www.cninfo.com.cn</w:t>
            </w:r>
            <w:r>
              <w:rPr>
                <w:rFonts w:ascii="宋体" w:hAnsi="宋体" w:hint="eastAsia"/>
                <w:sz w:val="21"/>
                <w:szCs w:val="21"/>
              </w:rPr>
              <w:t>）披露了《关于投资设立子公司的公告》（公告编号：</w:t>
            </w:r>
            <w:r>
              <w:rPr>
                <w:rFonts w:ascii="宋体" w:hAnsi="宋体"/>
                <w:sz w:val="21"/>
                <w:szCs w:val="21"/>
              </w:rPr>
              <w:t>2018-070</w:t>
            </w:r>
            <w:r>
              <w:rPr>
                <w:rFonts w:ascii="宋体" w:hAnsi="宋体" w:hint="eastAsia"/>
                <w:sz w:val="21"/>
                <w:szCs w:val="21"/>
              </w:rPr>
              <w:t>）。</w:t>
            </w:r>
          </w:p>
        </w:tc>
      </w:tr>
      <w:tr w:rsidR="006D5885">
        <w:trPr>
          <w:jc w:val="center"/>
        </w:trPr>
        <w:tc>
          <w:tcPr>
            <w:tcW w:w="3189" w:type="dxa"/>
            <w:vMerge/>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sz w:val="21"/>
                <w:szCs w:val="21"/>
              </w:rPr>
              <w:t>2018</w:t>
            </w:r>
            <w:r>
              <w:rPr>
                <w:rFonts w:ascii="宋体" w:hAnsi="宋体" w:hint="eastAsia"/>
                <w:sz w:val="21"/>
                <w:szCs w:val="21"/>
              </w:rPr>
              <w:t>年</w:t>
            </w:r>
            <w:r>
              <w:rPr>
                <w:rFonts w:ascii="宋体" w:hAnsi="宋体"/>
                <w:sz w:val="21"/>
                <w:szCs w:val="21"/>
              </w:rPr>
              <w:t>09</w:t>
            </w:r>
            <w:r>
              <w:rPr>
                <w:rFonts w:ascii="宋体" w:hAnsi="宋体" w:hint="eastAsia"/>
                <w:sz w:val="21"/>
                <w:szCs w:val="21"/>
              </w:rPr>
              <w:t>月</w:t>
            </w:r>
            <w:r>
              <w:rPr>
                <w:rFonts w:ascii="宋体" w:hAnsi="宋体"/>
                <w:sz w:val="21"/>
                <w:szCs w:val="21"/>
              </w:rPr>
              <w:t>28</w:t>
            </w:r>
            <w:r>
              <w:rPr>
                <w:rFonts w:ascii="宋体" w:hAnsi="宋体" w:hint="eastAsia"/>
                <w:sz w:val="21"/>
                <w:szCs w:val="21"/>
              </w:rPr>
              <w:t>日</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巨潮资讯网（</w:t>
            </w:r>
            <w:r>
              <w:rPr>
                <w:rFonts w:ascii="宋体" w:hAnsi="宋体"/>
                <w:sz w:val="21"/>
                <w:szCs w:val="21"/>
              </w:rPr>
              <w:t>http://www.cninfo.com.cn</w:t>
            </w:r>
            <w:r>
              <w:rPr>
                <w:rFonts w:ascii="宋体" w:hAnsi="宋体" w:hint="eastAsia"/>
                <w:sz w:val="21"/>
                <w:szCs w:val="21"/>
              </w:rPr>
              <w:t>）披露了《关于投资设立子公司的进展公告》（公告编号：</w:t>
            </w:r>
            <w:r>
              <w:rPr>
                <w:rFonts w:ascii="宋体" w:hAnsi="宋体"/>
                <w:sz w:val="21"/>
                <w:szCs w:val="21"/>
              </w:rPr>
              <w:t>2018-071</w:t>
            </w:r>
            <w:r>
              <w:rPr>
                <w:rFonts w:ascii="宋体" w:hAnsi="宋体" w:hint="eastAsia"/>
                <w:sz w:val="21"/>
                <w:szCs w:val="21"/>
              </w:rPr>
              <w:t>）。</w:t>
            </w:r>
          </w:p>
        </w:tc>
      </w:tr>
    </w:tbl>
    <w:p w:rsidR="006D5885" w:rsidRDefault="006D5885">
      <w:pPr>
        <w:pStyle w:val="Chapter"/>
        <w:spacing w:before="0" w:after="0" w:line="360" w:lineRule="auto"/>
        <w:outlineLvl w:val="1"/>
        <w:rPr>
          <w:rFonts w:cs="Times New Roman"/>
        </w:rPr>
      </w:pPr>
      <w:r>
        <w:rPr>
          <w:rFonts w:ascii="宋体" w:hAnsi="宋体" w:hint="eastAsia"/>
        </w:rPr>
        <w:t>三、公司实际控制人、股东、关联方、收购人以及公司等承诺相关方在报告期内超期未履行完毕的承诺事项</w:t>
      </w:r>
    </w:p>
    <w:p w:rsidR="006D5885" w:rsidRDefault="006D5885">
      <w:pPr>
        <w:autoSpaceDE w:val="0"/>
        <w:autoSpaceDN w:val="0"/>
        <w:adjustRightInd w:val="0"/>
        <w:spacing w:before="0" w:after="0" w:line="360" w:lineRule="auto"/>
        <w:jc w:val="left"/>
        <w:rPr>
          <w:rFonts w:ascii="宋体" w:hAnsi="宋体"/>
          <w:sz w:val="24"/>
          <w:szCs w:val="24"/>
          <w:lang w:val="zh-CN"/>
        </w:rPr>
      </w:pPr>
      <w:r>
        <w:rPr>
          <w:rFonts w:ascii="宋体" w:hAnsi="宋体" w:hint="eastAsia"/>
          <w:sz w:val="24"/>
          <w:szCs w:val="24"/>
          <w:lang w:val="zh-CN"/>
        </w:rPr>
        <w:t>√</w:t>
      </w:r>
      <w:r>
        <w:rPr>
          <w:rFonts w:ascii="宋体" w:hAnsi="宋体"/>
          <w:sz w:val="24"/>
          <w:szCs w:val="24"/>
          <w:lang w:val="zh-CN"/>
        </w:rPr>
        <w:t xml:space="preserve"> </w:t>
      </w:r>
      <w:r>
        <w:rPr>
          <w:rFonts w:ascii="宋体" w:hAnsi="宋体" w:hint="eastAsia"/>
          <w:sz w:val="24"/>
          <w:szCs w:val="24"/>
          <w:lang w:val="zh-CN"/>
        </w:rPr>
        <w:t>适用</w:t>
      </w:r>
      <w:r>
        <w:rPr>
          <w:rFonts w:ascii="宋体" w:hAnsi="宋体"/>
          <w:sz w:val="24"/>
          <w:szCs w:val="24"/>
          <w:lang w:val="zh-CN"/>
        </w:rPr>
        <w:t xml:space="preserve"> </w:t>
      </w:r>
      <w:r>
        <w:rPr>
          <w:rFonts w:ascii="宋体" w:hAnsi="宋体" w:hint="eastAsia"/>
          <w:sz w:val="24"/>
          <w:szCs w:val="24"/>
          <w:lang w:val="zh-CN"/>
        </w:rPr>
        <w:t>□</w:t>
      </w:r>
      <w:r>
        <w:rPr>
          <w:rFonts w:ascii="宋体" w:hAnsi="宋体"/>
          <w:sz w:val="24"/>
          <w:szCs w:val="24"/>
          <w:lang w:val="zh-CN"/>
        </w:rPr>
        <w:t xml:space="preserve"> </w:t>
      </w:r>
      <w:r>
        <w:rPr>
          <w:rFonts w:ascii="宋体" w:hAnsi="宋体" w:hint="eastAsia"/>
          <w:sz w:val="24"/>
          <w:szCs w:val="24"/>
          <w:lang w:val="zh-CN"/>
        </w:rPr>
        <w:t>不适用</w:t>
      </w:r>
      <w:r>
        <w:rPr>
          <w:rFonts w:ascii="宋体" w:hAnsi="宋体"/>
          <w:sz w:val="24"/>
          <w:szCs w:val="24"/>
          <w:lang w:val="zh-CN"/>
        </w:rPr>
        <w:t xml:space="preserve"> </w:t>
      </w:r>
    </w:p>
    <w:tbl>
      <w:tblPr>
        <w:tblW w:w="0" w:type="auto"/>
        <w:jc w:val="center"/>
        <w:tblLayout w:type="fixed"/>
        <w:tblLook w:val="0000" w:firstRow="0" w:lastRow="0" w:firstColumn="0" w:lastColumn="0" w:noHBand="0" w:noVBand="0"/>
      </w:tblPr>
      <w:tblGrid>
        <w:gridCol w:w="1822"/>
        <w:gridCol w:w="1155"/>
        <w:gridCol w:w="1170"/>
        <w:gridCol w:w="2475"/>
        <w:gridCol w:w="1305"/>
        <w:gridCol w:w="750"/>
        <w:gridCol w:w="889"/>
      </w:tblGrid>
      <w:tr w:rsidR="006D5885">
        <w:trPr>
          <w:jc w:val="center"/>
        </w:trPr>
        <w:tc>
          <w:tcPr>
            <w:tcW w:w="1822"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承诺事由</w:t>
            </w:r>
          </w:p>
        </w:tc>
        <w:tc>
          <w:tcPr>
            <w:tcW w:w="1155"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承诺方</w:t>
            </w:r>
          </w:p>
        </w:tc>
        <w:tc>
          <w:tcPr>
            <w:tcW w:w="1170"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承诺类型</w:t>
            </w:r>
          </w:p>
        </w:tc>
        <w:tc>
          <w:tcPr>
            <w:tcW w:w="2475"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承诺内容</w:t>
            </w:r>
          </w:p>
        </w:tc>
        <w:tc>
          <w:tcPr>
            <w:tcW w:w="1305"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承诺时间</w:t>
            </w:r>
          </w:p>
        </w:tc>
        <w:tc>
          <w:tcPr>
            <w:tcW w:w="750"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承诺期限</w:t>
            </w:r>
          </w:p>
        </w:tc>
        <w:tc>
          <w:tcPr>
            <w:tcW w:w="889"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履行情况</w:t>
            </w:r>
          </w:p>
        </w:tc>
      </w:tr>
      <w:tr w:rsidR="006D5885">
        <w:trPr>
          <w:jc w:val="center"/>
        </w:trPr>
        <w:tc>
          <w:tcPr>
            <w:tcW w:w="182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sz w:val="21"/>
                <w:szCs w:val="21"/>
              </w:rPr>
            </w:pPr>
            <w:r>
              <w:rPr>
                <w:rFonts w:ascii="宋体" w:hAnsi="宋体" w:hint="eastAsia"/>
                <w:sz w:val="21"/>
                <w:szCs w:val="21"/>
              </w:rPr>
              <w:t>股改承诺</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cs="Times New Roman"/>
                <w:sz w:val="21"/>
                <w:szCs w:val="21"/>
              </w:rPr>
              <w:t>-</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cs="Times New Roman"/>
                <w:sz w:val="21"/>
                <w:szCs w:val="21"/>
              </w:rPr>
              <w:t>-</w:t>
            </w:r>
          </w:p>
        </w:tc>
        <w:tc>
          <w:tcPr>
            <w:tcW w:w="247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cs="Times New Roman"/>
                <w:sz w:val="21"/>
                <w:szCs w:val="21"/>
              </w:rPr>
              <w:t>-</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cs="Times New Roman"/>
                <w:sz w:val="21"/>
                <w:szCs w:val="21"/>
              </w:rPr>
              <w:t>-</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cs="Times New Roman"/>
                <w:sz w:val="21"/>
                <w:szCs w:val="21"/>
              </w:rPr>
              <w:t>-</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cs="Times New Roman"/>
                <w:sz w:val="21"/>
                <w:szCs w:val="21"/>
              </w:rPr>
              <w:t>-</w:t>
            </w:r>
          </w:p>
        </w:tc>
      </w:tr>
      <w:tr w:rsidR="006D5885">
        <w:trPr>
          <w:jc w:val="center"/>
        </w:trPr>
        <w:tc>
          <w:tcPr>
            <w:tcW w:w="182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sz w:val="21"/>
                <w:szCs w:val="21"/>
              </w:rPr>
            </w:pPr>
            <w:r>
              <w:rPr>
                <w:rFonts w:ascii="宋体" w:hAnsi="宋体" w:hint="eastAsia"/>
                <w:sz w:val="21"/>
                <w:szCs w:val="21"/>
              </w:rPr>
              <w:t>收购报告书或权益变动报告书中所作承诺</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cs="Times New Roman"/>
                <w:sz w:val="21"/>
                <w:szCs w:val="21"/>
              </w:rPr>
              <w:t>-</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cs="Times New Roman"/>
                <w:sz w:val="21"/>
                <w:szCs w:val="21"/>
              </w:rPr>
              <w:t>-</w:t>
            </w:r>
          </w:p>
        </w:tc>
        <w:tc>
          <w:tcPr>
            <w:tcW w:w="247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cs="Times New Roman"/>
                <w:sz w:val="21"/>
                <w:szCs w:val="21"/>
              </w:rPr>
              <w:t>-</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cs="Times New Roman"/>
                <w:sz w:val="21"/>
                <w:szCs w:val="21"/>
              </w:rPr>
              <w:t>-</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cs="Times New Roman"/>
                <w:sz w:val="21"/>
                <w:szCs w:val="21"/>
              </w:rPr>
              <w:t>-</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cs="Times New Roman"/>
                <w:sz w:val="21"/>
                <w:szCs w:val="21"/>
              </w:rPr>
              <w:t>-</w:t>
            </w:r>
          </w:p>
        </w:tc>
      </w:tr>
      <w:tr w:rsidR="006D5885">
        <w:trPr>
          <w:jc w:val="center"/>
        </w:trPr>
        <w:tc>
          <w:tcPr>
            <w:tcW w:w="182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sz w:val="21"/>
                <w:szCs w:val="21"/>
              </w:rPr>
            </w:pPr>
            <w:r>
              <w:rPr>
                <w:rFonts w:ascii="宋体" w:hAnsi="宋体" w:hint="eastAsia"/>
                <w:sz w:val="21"/>
                <w:szCs w:val="21"/>
              </w:rPr>
              <w:t>资产重组时所作承诺</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中汇集团</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sz w:val="21"/>
                <w:szCs w:val="21"/>
              </w:rPr>
              <w:t>5%</w:t>
            </w:r>
            <w:r>
              <w:rPr>
                <w:rFonts w:ascii="宋体" w:hAnsi="宋体" w:hint="eastAsia"/>
                <w:sz w:val="21"/>
                <w:szCs w:val="21"/>
              </w:rPr>
              <w:t>以上股东承诺</w:t>
            </w:r>
          </w:p>
        </w:tc>
        <w:tc>
          <w:tcPr>
            <w:tcW w:w="247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中汇集团不从事、且中汇集团将通过法律程序确保中汇集团之其他全资、控股子企业均不从事任何在商业上与公用科技合并后经营的业务有直接竞争的业务。</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sz w:val="21"/>
                <w:szCs w:val="21"/>
              </w:rPr>
              <w:t>2007</w:t>
            </w:r>
            <w:r>
              <w:rPr>
                <w:rFonts w:ascii="宋体" w:hAnsi="宋体" w:hint="eastAsia"/>
                <w:sz w:val="21"/>
                <w:szCs w:val="21"/>
              </w:rPr>
              <w:t>年</w:t>
            </w:r>
            <w:r>
              <w:rPr>
                <w:rFonts w:ascii="宋体" w:hAnsi="宋体"/>
                <w:sz w:val="21"/>
                <w:szCs w:val="21"/>
              </w:rPr>
              <w:t>11</w:t>
            </w:r>
            <w:r>
              <w:rPr>
                <w:rFonts w:ascii="宋体" w:hAnsi="宋体" w:hint="eastAsia"/>
                <w:sz w:val="21"/>
                <w:szCs w:val="21"/>
              </w:rPr>
              <w:t>月</w:t>
            </w:r>
            <w:r>
              <w:rPr>
                <w:rFonts w:ascii="宋体" w:hAnsi="宋体"/>
                <w:sz w:val="21"/>
                <w:szCs w:val="21"/>
              </w:rPr>
              <w:t>08</w:t>
            </w:r>
            <w:r>
              <w:rPr>
                <w:rFonts w:ascii="宋体" w:hAnsi="宋体" w:hint="eastAsia"/>
                <w:sz w:val="21"/>
                <w:szCs w:val="21"/>
              </w:rPr>
              <w:t>日</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长期</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履行中</w:t>
            </w:r>
          </w:p>
        </w:tc>
      </w:tr>
      <w:tr w:rsidR="006D5885">
        <w:trPr>
          <w:jc w:val="center"/>
        </w:trPr>
        <w:tc>
          <w:tcPr>
            <w:tcW w:w="1822" w:type="dxa"/>
            <w:vMerge/>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中汇集团</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sz w:val="21"/>
                <w:szCs w:val="21"/>
              </w:rPr>
              <w:t>5%</w:t>
            </w:r>
            <w:r>
              <w:rPr>
                <w:rFonts w:ascii="宋体" w:hAnsi="宋体" w:hint="eastAsia"/>
                <w:sz w:val="21"/>
                <w:szCs w:val="21"/>
              </w:rPr>
              <w:t>以上股东承诺</w:t>
            </w:r>
          </w:p>
        </w:tc>
        <w:tc>
          <w:tcPr>
            <w:tcW w:w="247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在不与法律、法规相抵触的前提下，在权利所及范围内，中汇集团以及其他中汇集团之全资、控股子企业在与公用科技进行关联交易时将按公平、公开的市场原则进行，并履行法律、法规、规范性文件和公用科技公司章程、管理制度规定的程序，且不通过与公用科技之间的关联关系谋求特殊的利益，不会进行有损公用科技及其他股东利益的关联交易。</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sz w:val="21"/>
                <w:szCs w:val="21"/>
              </w:rPr>
              <w:t>2007</w:t>
            </w:r>
            <w:r>
              <w:rPr>
                <w:rFonts w:ascii="宋体" w:hAnsi="宋体" w:hint="eastAsia"/>
                <w:sz w:val="21"/>
                <w:szCs w:val="21"/>
              </w:rPr>
              <w:t>年</w:t>
            </w:r>
            <w:r>
              <w:rPr>
                <w:rFonts w:ascii="宋体" w:hAnsi="宋体"/>
                <w:sz w:val="21"/>
                <w:szCs w:val="21"/>
              </w:rPr>
              <w:t>11</w:t>
            </w:r>
            <w:r>
              <w:rPr>
                <w:rFonts w:ascii="宋体" w:hAnsi="宋体" w:hint="eastAsia"/>
                <w:sz w:val="21"/>
                <w:szCs w:val="21"/>
              </w:rPr>
              <w:t>月</w:t>
            </w:r>
            <w:r>
              <w:rPr>
                <w:rFonts w:ascii="宋体" w:hAnsi="宋体"/>
                <w:sz w:val="21"/>
                <w:szCs w:val="21"/>
              </w:rPr>
              <w:t>08</w:t>
            </w:r>
            <w:r>
              <w:rPr>
                <w:rFonts w:ascii="宋体" w:hAnsi="宋体" w:hint="eastAsia"/>
                <w:sz w:val="21"/>
                <w:szCs w:val="21"/>
              </w:rPr>
              <w:t>日</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长期</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履行中</w:t>
            </w:r>
          </w:p>
        </w:tc>
      </w:tr>
      <w:tr w:rsidR="006D5885">
        <w:trPr>
          <w:jc w:val="center"/>
        </w:trPr>
        <w:tc>
          <w:tcPr>
            <w:tcW w:w="1822" w:type="dxa"/>
            <w:vMerge/>
            <w:tcBorders>
              <w:top w:val="single" w:sz="4" w:space="0" w:color="auto"/>
              <w:left w:val="single" w:sz="4" w:space="0" w:color="auto"/>
              <w:bottom w:val="single" w:sz="4" w:space="0" w:color="auto"/>
              <w:right w:val="single" w:sz="4" w:space="0" w:color="auto"/>
            </w:tcBorders>
            <w:vAlign w:val="center"/>
          </w:tcPr>
          <w:p w:rsidR="006D5885" w:rsidRDefault="006D5885">
            <w:pPr>
              <w:jc w:val="left"/>
              <w:rPr>
                <w:rFonts w:cs="Times New Roman"/>
                <w:sz w:val="21"/>
                <w:szCs w:val="21"/>
              </w:rPr>
            </w:pP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中汇集团</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sz w:val="21"/>
                <w:szCs w:val="21"/>
              </w:rPr>
              <w:t>5%</w:t>
            </w:r>
            <w:r>
              <w:rPr>
                <w:rFonts w:ascii="宋体" w:hAnsi="宋体" w:hint="eastAsia"/>
                <w:sz w:val="21"/>
                <w:szCs w:val="21"/>
              </w:rPr>
              <w:t>以上股东承诺</w:t>
            </w:r>
          </w:p>
        </w:tc>
        <w:tc>
          <w:tcPr>
            <w:tcW w:w="247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中汇集团承诺在成为公用科技的控股股东后，将按照法律、法规及公司章程依法行使股东权利，不利用关联股东身份影响公用科技的独立性，保持公用科技在资产、人员、财务、业务和机构等方面的独立性。</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sz w:val="21"/>
                <w:szCs w:val="21"/>
              </w:rPr>
              <w:t>2007</w:t>
            </w:r>
            <w:r>
              <w:rPr>
                <w:rFonts w:ascii="宋体" w:hAnsi="宋体" w:hint="eastAsia"/>
                <w:sz w:val="21"/>
                <w:szCs w:val="21"/>
              </w:rPr>
              <w:t>年</w:t>
            </w:r>
            <w:r>
              <w:rPr>
                <w:rFonts w:ascii="宋体" w:hAnsi="宋体"/>
                <w:sz w:val="21"/>
                <w:szCs w:val="21"/>
              </w:rPr>
              <w:t>11</w:t>
            </w:r>
            <w:r>
              <w:rPr>
                <w:rFonts w:ascii="宋体" w:hAnsi="宋体" w:hint="eastAsia"/>
                <w:sz w:val="21"/>
                <w:szCs w:val="21"/>
              </w:rPr>
              <w:t>月</w:t>
            </w:r>
            <w:r>
              <w:rPr>
                <w:rFonts w:ascii="宋体" w:hAnsi="宋体"/>
                <w:sz w:val="21"/>
                <w:szCs w:val="21"/>
              </w:rPr>
              <w:t>08</w:t>
            </w:r>
            <w:r>
              <w:rPr>
                <w:rFonts w:ascii="宋体" w:hAnsi="宋体" w:hint="eastAsia"/>
                <w:sz w:val="21"/>
                <w:szCs w:val="21"/>
              </w:rPr>
              <w:t>日</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长期</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履行中</w:t>
            </w:r>
          </w:p>
        </w:tc>
      </w:tr>
      <w:tr w:rsidR="006D5885">
        <w:trPr>
          <w:jc w:val="center"/>
        </w:trPr>
        <w:tc>
          <w:tcPr>
            <w:tcW w:w="182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sz w:val="21"/>
                <w:szCs w:val="21"/>
              </w:rPr>
            </w:pPr>
            <w:r>
              <w:rPr>
                <w:rFonts w:ascii="宋体" w:hAnsi="宋体" w:hint="eastAsia"/>
                <w:sz w:val="21"/>
                <w:szCs w:val="21"/>
              </w:rPr>
              <w:t>首次公开发行或再融资时所作承诺</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cs="Times New Roman"/>
                <w:sz w:val="21"/>
                <w:szCs w:val="21"/>
              </w:rPr>
              <w:t>-</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cs="Times New Roman"/>
                <w:sz w:val="21"/>
                <w:szCs w:val="21"/>
              </w:rPr>
              <w:t>-</w:t>
            </w:r>
          </w:p>
        </w:tc>
        <w:tc>
          <w:tcPr>
            <w:tcW w:w="247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cs="Times New Roman"/>
                <w:sz w:val="21"/>
                <w:szCs w:val="21"/>
              </w:rPr>
              <w:t>-</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cs="Times New Roman"/>
                <w:sz w:val="21"/>
                <w:szCs w:val="21"/>
              </w:rPr>
              <w:t>-</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cs="Times New Roman"/>
                <w:sz w:val="21"/>
                <w:szCs w:val="21"/>
              </w:rPr>
              <w:t>-</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cs="Times New Roman"/>
                <w:sz w:val="21"/>
                <w:szCs w:val="21"/>
              </w:rPr>
              <w:t>-</w:t>
            </w:r>
          </w:p>
        </w:tc>
      </w:tr>
      <w:tr w:rsidR="006D5885">
        <w:trPr>
          <w:jc w:val="center"/>
        </w:trPr>
        <w:tc>
          <w:tcPr>
            <w:tcW w:w="182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sz w:val="21"/>
                <w:szCs w:val="21"/>
              </w:rPr>
            </w:pPr>
            <w:r>
              <w:rPr>
                <w:rFonts w:ascii="宋体" w:hAnsi="宋体" w:hint="eastAsia"/>
                <w:sz w:val="21"/>
                <w:szCs w:val="21"/>
              </w:rPr>
              <w:t>股权激励承诺</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中汇集团</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sz w:val="21"/>
                <w:szCs w:val="21"/>
              </w:rPr>
              <w:t>5%</w:t>
            </w:r>
            <w:r>
              <w:rPr>
                <w:rFonts w:ascii="宋体" w:hAnsi="宋体" w:hint="eastAsia"/>
                <w:sz w:val="21"/>
                <w:szCs w:val="21"/>
              </w:rPr>
              <w:t>以上股东承诺</w:t>
            </w:r>
          </w:p>
        </w:tc>
        <w:tc>
          <w:tcPr>
            <w:tcW w:w="247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为了增强流通股股东的持股信心，激励管理层的积极性，使管理层与公司股东的利益相统一，中汇集团同意公司在股权分置改革完成后按有关规定制订管理层股权激励计划。</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sz w:val="21"/>
                <w:szCs w:val="21"/>
              </w:rPr>
              <w:t>2006</w:t>
            </w:r>
            <w:r>
              <w:rPr>
                <w:rFonts w:ascii="宋体" w:hAnsi="宋体" w:hint="eastAsia"/>
                <w:sz w:val="21"/>
                <w:szCs w:val="21"/>
              </w:rPr>
              <w:t>年</w:t>
            </w:r>
            <w:r>
              <w:rPr>
                <w:rFonts w:ascii="宋体" w:hAnsi="宋体"/>
                <w:sz w:val="21"/>
                <w:szCs w:val="21"/>
              </w:rPr>
              <w:t>01</w:t>
            </w:r>
            <w:r>
              <w:rPr>
                <w:rFonts w:ascii="宋体" w:hAnsi="宋体" w:hint="eastAsia"/>
                <w:sz w:val="21"/>
                <w:szCs w:val="21"/>
              </w:rPr>
              <w:t>月</w:t>
            </w:r>
            <w:r>
              <w:rPr>
                <w:rFonts w:ascii="宋体" w:hAnsi="宋体"/>
                <w:sz w:val="21"/>
                <w:szCs w:val="21"/>
              </w:rPr>
              <w:t>04</w:t>
            </w:r>
            <w:r>
              <w:rPr>
                <w:rFonts w:ascii="宋体" w:hAnsi="宋体" w:hint="eastAsia"/>
                <w:sz w:val="21"/>
                <w:szCs w:val="21"/>
              </w:rPr>
              <w:t>日</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长期</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履行中</w:t>
            </w:r>
          </w:p>
        </w:tc>
      </w:tr>
      <w:tr w:rsidR="006D5885">
        <w:trPr>
          <w:jc w:val="center"/>
        </w:trPr>
        <w:tc>
          <w:tcPr>
            <w:tcW w:w="182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sz w:val="21"/>
                <w:szCs w:val="21"/>
              </w:rPr>
            </w:pPr>
            <w:r>
              <w:rPr>
                <w:rFonts w:ascii="宋体" w:hAnsi="宋体" w:hint="eastAsia"/>
                <w:sz w:val="21"/>
                <w:szCs w:val="21"/>
              </w:rPr>
              <w:t>其他对公司中小股东所作承诺</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cs="Times New Roman"/>
                <w:sz w:val="21"/>
                <w:szCs w:val="21"/>
              </w:rPr>
              <w:t>-</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cs="Times New Roman"/>
                <w:sz w:val="21"/>
                <w:szCs w:val="21"/>
              </w:rPr>
              <w:t>-</w:t>
            </w:r>
          </w:p>
        </w:tc>
        <w:tc>
          <w:tcPr>
            <w:tcW w:w="247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cs="Times New Roman"/>
                <w:sz w:val="21"/>
                <w:szCs w:val="21"/>
              </w:rPr>
              <w:t>-</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cs="Times New Roman"/>
                <w:sz w:val="21"/>
                <w:szCs w:val="21"/>
              </w:rPr>
              <w:t>-</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cs="Times New Roman"/>
                <w:sz w:val="21"/>
                <w:szCs w:val="21"/>
              </w:rPr>
              <w:t>-</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cs="Times New Roman"/>
                <w:sz w:val="21"/>
                <w:szCs w:val="21"/>
              </w:rPr>
              <w:t>-</w:t>
            </w:r>
          </w:p>
        </w:tc>
      </w:tr>
      <w:tr w:rsidR="006D5885">
        <w:trPr>
          <w:jc w:val="center"/>
        </w:trPr>
        <w:tc>
          <w:tcPr>
            <w:tcW w:w="1822"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sz w:val="21"/>
                <w:szCs w:val="21"/>
              </w:rPr>
            </w:pPr>
            <w:r>
              <w:rPr>
                <w:rFonts w:ascii="宋体" w:hAnsi="宋体" w:hint="eastAsia"/>
                <w:sz w:val="21"/>
                <w:szCs w:val="21"/>
              </w:rPr>
              <w:t>承诺是否按时履行</w:t>
            </w:r>
          </w:p>
        </w:tc>
        <w:tc>
          <w:tcPr>
            <w:tcW w:w="774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是</w:t>
            </w:r>
          </w:p>
        </w:tc>
      </w:tr>
      <w:tr w:rsidR="006D5885">
        <w:trPr>
          <w:jc w:val="center"/>
        </w:trPr>
        <w:tc>
          <w:tcPr>
            <w:tcW w:w="1822"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sz w:val="21"/>
                <w:szCs w:val="21"/>
              </w:rPr>
            </w:pPr>
            <w:r>
              <w:rPr>
                <w:rFonts w:ascii="宋体" w:hAnsi="宋体" w:hint="eastAsia"/>
                <w:sz w:val="21"/>
                <w:szCs w:val="21"/>
              </w:rPr>
              <w:t>如承诺超期未履行完毕的，应当详细说明未完成履行的具体原因及下一步的工作计划</w:t>
            </w:r>
          </w:p>
        </w:tc>
        <w:tc>
          <w:tcPr>
            <w:tcW w:w="774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无</w:t>
            </w:r>
          </w:p>
        </w:tc>
      </w:tr>
    </w:tbl>
    <w:p w:rsidR="006D5885" w:rsidRDefault="006D5885">
      <w:pPr>
        <w:pStyle w:val="Chapter"/>
        <w:spacing w:before="0" w:after="0" w:line="360" w:lineRule="auto"/>
        <w:outlineLvl w:val="1"/>
        <w:rPr>
          <w:rFonts w:eastAsia="Times New Roman" w:cs="Times New Roman"/>
        </w:rPr>
      </w:pPr>
      <w:r>
        <w:rPr>
          <w:rFonts w:ascii="宋体" w:hAnsi="宋体" w:hint="eastAsia"/>
        </w:rPr>
        <w:t>四、对</w:t>
      </w:r>
      <w:r>
        <w:rPr>
          <w:rFonts w:ascii="宋体" w:hAnsi="宋体"/>
        </w:rPr>
        <w:t>2018</w:t>
      </w:r>
      <w:r>
        <w:rPr>
          <w:rFonts w:ascii="宋体" w:hAnsi="宋体" w:hint="eastAsia"/>
        </w:rPr>
        <w:t>年度经营业绩的预计</w:t>
      </w:r>
    </w:p>
    <w:p w:rsidR="006D5885" w:rsidRDefault="006D5885">
      <w:pPr>
        <w:spacing w:before="0" w:after="0" w:line="360" w:lineRule="auto"/>
        <w:rPr>
          <w:rFonts w:cs="Times New Roman"/>
          <w:sz w:val="24"/>
          <w:szCs w:val="24"/>
        </w:rPr>
      </w:pPr>
      <w:r>
        <w:rPr>
          <w:rFonts w:ascii="宋体" w:hAnsi="宋体" w:hint="eastAsia"/>
          <w:sz w:val="24"/>
          <w:szCs w:val="24"/>
        </w:rPr>
        <w:t>预测年初至下一报告期期末的累计净利润可能为亏损或者与上年同期相比发生大幅度变动的警示及原因说明</w:t>
      </w:r>
    </w:p>
    <w:p w:rsidR="006D5885" w:rsidRDefault="006D5885">
      <w:pPr>
        <w:spacing w:before="0" w:after="0" w:line="360" w:lineRule="auto"/>
        <w:rPr>
          <w:rFonts w:cs="Times New Roman"/>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适用</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不适用</w:t>
      </w:r>
    </w:p>
    <w:p w:rsidR="006D5885" w:rsidRDefault="006D5885">
      <w:pPr>
        <w:spacing w:before="0" w:after="0" w:line="360" w:lineRule="auto"/>
        <w:rPr>
          <w:rFonts w:cs="Times New Roman"/>
          <w:sz w:val="24"/>
          <w:szCs w:val="24"/>
        </w:rPr>
      </w:pPr>
    </w:p>
    <w:p w:rsidR="006D5885" w:rsidRDefault="006D5885">
      <w:pPr>
        <w:spacing w:before="0" w:after="0" w:line="360" w:lineRule="auto"/>
        <w:rPr>
          <w:rFonts w:cs="Times New Roman"/>
          <w:sz w:val="24"/>
          <w:szCs w:val="24"/>
        </w:rPr>
      </w:pPr>
    </w:p>
    <w:p w:rsidR="006D5885" w:rsidRDefault="006D5885">
      <w:pPr>
        <w:spacing w:before="0" w:after="0" w:line="360" w:lineRule="auto"/>
        <w:rPr>
          <w:rFonts w:cs="Times New Roman"/>
          <w:sz w:val="24"/>
          <w:szCs w:val="24"/>
        </w:rPr>
      </w:pPr>
    </w:p>
    <w:p w:rsidR="006D5885" w:rsidRDefault="006D5885">
      <w:pPr>
        <w:spacing w:before="0" w:after="0" w:line="360" w:lineRule="auto"/>
        <w:rPr>
          <w:rFonts w:cs="Times New Roman"/>
          <w:sz w:val="24"/>
          <w:szCs w:val="24"/>
        </w:rPr>
      </w:pPr>
    </w:p>
    <w:p w:rsidR="006D5885" w:rsidRDefault="006D5885">
      <w:pPr>
        <w:spacing w:before="0" w:after="0" w:line="360" w:lineRule="auto"/>
        <w:rPr>
          <w:rFonts w:cs="Times New Roman"/>
          <w:sz w:val="24"/>
          <w:szCs w:val="24"/>
        </w:rPr>
      </w:pPr>
    </w:p>
    <w:p w:rsidR="006D5885" w:rsidRDefault="006D5885">
      <w:pPr>
        <w:spacing w:before="0" w:after="0" w:line="360" w:lineRule="auto"/>
        <w:rPr>
          <w:rFonts w:cs="Times New Roman"/>
          <w:sz w:val="24"/>
          <w:szCs w:val="24"/>
        </w:rPr>
      </w:pPr>
    </w:p>
    <w:p w:rsidR="006D5885" w:rsidRDefault="006D5885">
      <w:pPr>
        <w:spacing w:before="0" w:after="0" w:line="360" w:lineRule="auto"/>
        <w:rPr>
          <w:rFonts w:cs="Times New Roman"/>
          <w:sz w:val="24"/>
          <w:szCs w:val="24"/>
        </w:rPr>
      </w:pPr>
    </w:p>
    <w:p w:rsidR="006D5885" w:rsidRDefault="006D5885">
      <w:pPr>
        <w:spacing w:before="0" w:after="0" w:line="360" w:lineRule="auto"/>
        <w:rPr>
          <w:rFonts w:cs="Times New Roman"/>
          <w:sz w:val="24"/>
          <w:szCs w:val="24"/>
        </w:rPr>
      </w:pPr>
    </w:p>
    <w:p w:rsidR="006D5885" w:rsidRDefault="006D5885">
      <w:pPr>
        <w:spacing w:before="0" w:after="0" w:line="360" w:lineRule="auto"/>
        <w:rPr>
          <w:rFonts w:cs="Times New Roman"/>
          <w:sz w:val="24"/>
          <w:szCs w:val="24"/>
        </w:rPr>
      </w:pPr>
    </w:p>
    <w:p w:rsidR="006D5885" w:rsidRDefault="006D5885">
      <w:pPr>
        <w:spacing w:before="0" w:after="0" w:line="360" w:lineRule="auto"/>
        <w:rPr>
          <w:rFonts w:cs="Times New Roman"/>
          <w:sz w:val="24"/>
          <w:szCs w:val="24"/>
        </w:rPr>
      </w:pPr>
    </w:p>
    <w:p w:rsidR="006D5885" w:rsidRDefault="006D5885">
      <w:pPr>
        <w:spacing w:before="0" w:after="0" w:line="360" w:lineRule="auto"/>
        <w:rPr>
          <w:rFonts w:cs="Times New Roman"/>
          <w:sz w:val="24"/>
          <w:szCs w:val="24"/>
        </w:rPr>
      </w:pPr>
    </w:p>
    <w:p w:rsidR="006D5885" w:rsidRDefault="006D5885">
      <w:pPr>
        <w:spacing w:before="0" w:after="0" w:line="360" w:lineRule="auto"/>
        <w:rPr>
          <w:rFonts w:cs="Times New Roman"/>
          <w:sz w:val="24"/>
          <w:szCs w:val="24"/>
        </w:rPr>
      </w:pPr>
    </w:p>
    <w:p w:rsidR="006D5885" w:rsidRDefault="006D5885">
      <w:pPr>
        <w:spacing w:before="0" w:after="0" w:line="360" w:lineRule="auto"/>
        <w:rPr>
          <w:rFonts w:cs="Times New Roman"/>
          <w:sz w:val="24"/>
          <w:szCs w:val="24"/>
        </w:rPr>
      </w:pPr>
    </w:p>
    <w:p w:rsidR="006D5885" w:rsidRDefault="006D5885">
      <w:pPr>
        <w:spacing w:before="0" w:after="0" w:line="360" w:lineRule="auto"/>
        <w:rPr>
          <w:rFonts w:cs="Times New Roman"/>
          <w:sz w:val="24"/>
          <w:szCs w:val="24"/>
        </w:rPr>
      </w:pPr>
    </w:p>
    <w:p w:rsidR="006D5885" w:rsidRDefault="006D5885">
      <w:pPr>
        <w:spacing w:before="0" w:after="0" w:line="360" w:lineRule="auto"/>
        <w:rPr>
          <w:rFonts w:cs="Times New Roman"/>
          <w:sz w:val="24"/>
          <w:szCs w:val="24"/>
        </w:rPr>
      </w:pPr>
    </w:p>
    <w:p w:rsidR="006D5885" w:rsidRDefault="006D5885">
      <w:pPr>
        <w:spacing w:before="0" w:after="0" w:line="360" w:lineRule="auto"/>
        <w:rPr>
          <w:rFonts w:cs="Times New Roman"/>
          <w:sz w:val="24"/>
          <w:szCs w:val="24"/>
        </w:rPr>
      </w:pPr>
    </w:p>
    <w:p w:rsidR="006D5885" w:rsidRDefault="006D5885">
      <w:pPr>
        <w:spacing w:before="0" w:after="0" w:line="360" w:lineRule="auto"/>
        <w:rPr>
          <w:rFonts w:cs="Times New Roman"/>
          <w:sz w:val="24"/>
          <w:szCs w:val="24"/>
        </w:rPr>
      </w:pPr>
    </w:p>
    <w:p w:rsidR="006D5885" w:rsidRDefault="006D5885">
      <w:pPr>
        <w:spacing w:before="0" w:after="0" w:line="360" w:lineRule="auto"/>
        <w:rPr>
          <w:rFonts w:cs="Times New Roman"/>
          <w:sz w:val="24"/>
          <w:szCs w:val="24"/>
        </w:rPr>
      </w:pPr>
    </w:p>
    <w:p w:rsidR="006D5885" w:rsidRDefault="006D5885">
      <w:pPr>
        <w:spacing w:before="0" w:after="0" w:line="360" w:lineRule="auto"/>
        <w:rPr>
          <w:rFonts w:cs="Times New Roman"/>
          <w:sz w:val="24"/>
          <w:szCs w:val="24"/>
        </w:rPr>
      </w:pPr>
    </w:p>
    <w:p w:rsidR="006D5885" w:rsidRDefault="006D5885">
      <w:pPr>
        <w:spacing w:before="0" w:after="0" w:line="360" w:lineRule="auto"/>
        <w:rPr>
          <w:rFonts w:cs="Times New Roman"/>
          <w:sz w:val="24"/>
          <w:szCs w:val="24"/>
        </w:rPr>
      </w:pPr>
    </w:p>
    <w:p w:rsidR="006D5885" w:rsidRDefault="006D5885">
      <w:pPr>
        <w:spacing w:before="0" w:after="0" w:line="360" w:lineRule="auto"/>
        <w:rPr>
          <w:rFonts w:cs="Times New Roman"/>
          <w:sz w:val="24"/>
          <w:szCs w:val="24"/>
        </w:rPr>
      </w:pPr>
    </w:p>
    <w:p w:rsidR="006D5885" w:rsidRDefault="006D5885">
      <w:pPr>
        <w:spacing w:before="0" w:after="0" w:line="360" w:lineRule="auto"/>
        <w:rPr>
          <w:rFonts w:cs="Times New Roman"/>
          <w:sz w:val="24"/>
          <w:szCs w:val="24"/>
        </w:rPr>
        <w:sectPr w:rsidR="006D5885">
          <w:pgSz w:w="11906" w:h="16838"/>
          <w:pgMar w:top="1440" w:right="1134" w:bottom="1440" w:left="1134" w:header="851" w:footer="992" w:gutter="0"/>
          <w:cols w:space="720"/>
          <w:docGrid w:type="lines" w:linePitch="312"/>
        </w:sectPr>
      </w:pPr>
    </w:p>
    <w:p w:rsidR="006D5885" w:rsidRDefault="006D5885">
      <w:pPr>
        <w:pStyle w:val="Chapter"/>
        <w:spacing w:before="0" w:after="0" w:line="360" w:lineRule="auto"/>
        <w:outlineLvl w:val="1"/>
        <w:rPr>
          <w:rFonts w:cs="Times New Roman"/>
        </w:rPr>
      </w:pPr>
      <w:r>
        <w:rPr>
          <w:rFonts w:ascii="宋体" w:hAnsi="宋体" w:hint="eastAsia"/>
        </w:rPr>
        <w:t>五、证券投资情况</w:t>
      </w:r>
    </w:p>
    <w:p w:rsidR="006D5885" w:rsidRDefault="006D5885">
      <w:pPr>
        <w:spacing w:before="0" w:after="0" w:line="360" w:lineRule="auto"/>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适用</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不适用</w:t>
      </w:r>
      <w:r>
        <w:rPr>
          <w:rFonts w:ascii="宋体" w:hAnsi="宋体"/>
          <w:sz w:val="24"/>
          <w:szCs w:val="24"/>
        </w:rPr>
        <w:t xml:space="preserve"> </w:t>
      </w:r>
    </w:p>
    <w:p w:rsidR="006D5885" w:rsidRDefault="006D5885">
      <w:pPr>
        <w:spacing w:before="0" w:after="0" w:line="360" w:lineRule="auto"/>
        <w:jc w:val="right"/>
        <w:rPr>
          <w:rFonts w:cs="Times New Roman"/>
          <w:sz w:val="24"/>
          <w:szCs w:val="24"/>
          <w:lang w:val="zh-CN"/>
        </w:rPr>
      </w:pPr>
      <w:r>
        <w:rPr>
          <w:rFonts w:ascii="宋体" w:hAnsi="宋体" w:hint="eastAsia"/>
          <w:sz w:val="24"/>
          <w:szCs w:val="24"/>
          <w:lang w:val="zh-CN"/>
        </w:rPr>
        <w:t>单位：元</w:t>
      </w:r>
    </w:p>
    <w:tbl>
      <w:tblPr>
        <w:tblW w:w="0" w:type="auto"/>
        <w:jc w:val="center"/>
        <w:tblLayout w:type="fixed"/>
        <w:tblLook w:val="0000" w:firstRow="0" w:lastRow="0" w:firstColumn="0" w:lastColumn="0" w:noHBand="0" w:noVBand="0"/>
      </w:tblPr>
      <w:tblGrid>
        <w:gridCol w:w="1309"/>
        <w:gridCol w:w="1080"/>
        <w:gridCol w:w="1020"/>
        <w:gridCol w:w="1170"/>
        <w:gridCol w:w="1320"/>
        <w:gridCol w:w="915"/>
        <w:gridCol w:w="1215"/>
        <w:gridCol w:w="870"/>
        <w:gridCol w:w="1275"/>
        <w:gridCol w:w="1244"/>
        <w:gridCol w:w="1170"/>
        <w:gridCol w:w="1170"/>
        <w:gridCol w:w="810"/>
        <w:gridCol w:w="691"/>
      </w:tblGrid>
      <w:tr w:rsidR="006D5885">
        <w:trPr>
          <w:jc w:val="center"/>
        </w:trPr>
        <w:tc>
          <w:tcPr>
            <w:tcW w:w="1309"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rPr>
            </w:pPr>
            <w:r>
              <w:rPr>
                <w:rFonts w:ascii="宋体" w:hAnsi="宋体" w:hint="eastAsia"/>
              </w:rPr>
              <w:t>证券品种</w:t>
            </w:r>
          </w:p>
        </w:tc>
        <w:tc>
          <w:tcPr>
            <w:tcW w:w="1080"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rPr>
            </w:pPr>
            <w:r>
              <w:rPr>
                <w:rFonts w:ascii="宋体" w:hAnsi="宋体" w:hint="eastAsia"/>
              </w:rPr>
              <w:t>证券代码</w:t>
            </w:r>
          </w:p>
        </w:tc>
        <w:tc>
          <w:tcPr>
            <w:tcW w:w="1020"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rPr>
            </w:pPr>
            <w:r>
              <w:rPr>
                <w:rFonts w:ascii="宋体" w:hAnsi="宋体" w:hint="eastAsia"/>
              </w:rPr>
              <w:t>证券简称</w:t>
            </w:r>
          </w:p>
        </w:tc>
        <w:tc>
          <w:tcPr>
            <w:tcW w:w="1170"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rPr>
            </w:pPr>
            <w:r>
              <w:rPr>
                <w:rFonts w:ascii="宋体" w:hAnsi="宋体" w:hint="eastAsia"/>
              </w:rPr>
              <w:t>最初投资</w:t>
            </w:r>
          </w:p>
          <w:p w:rsidR="006D5885" w:rsidRDefault="006D5885">
            <w:pPr>
              <w:jc w:val="center"/>
              <w:rPr>
                <w:rFonts w:cs="Times New Roman"/>
              </w:rPr>
            </w:pPr>
            <w:r>
              <w:rPr>
                <w:rFonts w:ascii="宋体" w:hAnsi="宋体" w:hint="eastAsia"/>
              </w:rPr>
              <w:t>成本</w:t>
            </w:r>
          </w:p>
        </w:tc>
        <w:tc>
          <w:tcPr>
            <w:tcW w:w="1320"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rPr>
            </w:pPr>
            <w:r>
              <w:rPr>
                <w:rFonts w:ascii="宋体" w:hAnsi="宋体" w:hint="eastAsia"/>
              </w:rPr>
              <w:t>会计计量模式</w:t>
            </w:r>
          </w:p>
        </w:tc>
        <w:tc>
          <w:tcPr>
            <w:tcW w:w="915"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rPr>
            </w:pPr>
            <w:r>
              <w:rPr>
                <w:rFonts w:ascii="宋体" w:hAnsi="宋体" w:hint="eastAsia"/>
              </w:rPr>
              <w:t>期初账面价值</w:t>
            </w:r>
          </w:p>
        </w:tc>
        <w:tc>
          <w:tcPr>
            <w:tcW w:w="1215"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rPr>
            </w:pPr>
            <w:r>
              <w:rPr>
                <w:rFonts w:ascii="宋体" w:hAnsi="宋体" w:hint="eastAsia"/>
              </w:rPr>
              <w:t>本期公允价值变动损益</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rPr>
            </w:pPr>
            <w:r>
              <w:rPr>
                <w:rFonts w:ascii="宋体" w:hAnsi="宋体" w:hint="eastAsia"/>
              </w:rPr>
              <w:t>计入权益的累计公允价值变动</w:t>
            </w:r>
          </w:p>
        </w:tc>
        <w:tc>
          <w:tcPr>
            <w:tcW w:w="1275"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rPr>
            </w:pPr>
            <w:r>
              <w:rPr>
                <w:rFonts w:ascii="宋体" w:hAnsi="宋体" w:hint="eastAsia"/>
              </w:rPr>
              <w:t>本期购买</w:t>
            </w:r>
          </w:p>
          <w:p w:rsidR="006D5885" w:rsidRDefault="006D5885">
            <w:pPr>
              <w:jc w:val="center"/>
              <w:rPr>
                <w:rFonts w:cs="Times New Roman"/>
              </w:rPr>
            </w:pPr>
            <w:r>
              <w:rPr>
                <w:rFonts w:ascii="宋体" w:hAnsi="宋体" w:hint="eastAsia"/>
              </w:rPr>
              <w:t>金额</w:t>
            </w:r>
          </w:p>
        </w:tc>
        <w:tc>
          <w:tcPr>
            <w:tcW w:w="1244"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rPr>
            </w:pPr>
            <w:r>
              <w:rPr>
                <w:rFonts w:ascii="宋体" w:hAnsi="宋体" w:hint="eastAsia"/>
              </w:rPr>
              <w:t>本期出售</w:t>
            </w:r>
          </w:p>
          <w:p w:rsidR="006D5885" w:rsidRDefault="006D5885">
            <w:pPr>
              <w:jc w:val="center"/>
              <w:rPr>
                <w:rFonts w:cs="Times New Roman"/>
              </w:rPr>
            </w:pPr>
            <w:r>
              <w:rPr>
                <w:rFonts w:ascii="宋体" w:hAnsi="宋体" w:hint="eastAsia"/>
              </w:rPr>
              <w:t>金额</w:t>
            </w:r>
          </w:p>
        </w:tc>
        <w:tc>
          <w:tcPr>
            <w:tcW w:w="1170"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rPr>
            </w:pPr>
            <w:r>
              <w:rPr>
                <w:rFonts w:ascii="宋体" w:hAnsi="宋体" w:hint="eastAsia"/>
              </w:rPr>
              <w:t>报告期</w:t>
            </w:r>
          </w:p>
          <w:p w:rsidR="006D5885" w:rsidRDefault="006D5885">
            <w:pPr>
              <w:jc w:val="center"/>
              <w:rPr>
                <w:rFonts w:cs="Times New Roman"/>
              </w:rPr>
            </w:pPr>
            <w:r>
              <w:rPr>
                <w:rFonts w:ascii="宋体" w:hAnsi="宋体" w:hint="eastAsia"/>
              </w:rPr>
              <w:t>损益</w:t>
            </w:r>
          </w:p>
        </w:tc>
        <w:tc>
          <w:tcPr>
            <w:tcW w:w="1170"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rPr>
            </w:pPr>
            <w:r>
              <w:rPr>
                <w:rFonts w:ascii="宋体" w:hAnsi="宋体" w:hint="eastAsia"/>
              </w:rPr>
              <w:t>期末账面</w:t>
            </w:r>
          </w:p>
          <w:p w:rsidR="006D5885" w:rsidRDefault="006D5885">
            <w:pPr>
              <w:jc w:val="center"/>
              <w:rPr>
                <w:rFonts w:cs="Times New Roman"/>
              </w:rPr>
            </w:pPr>
            <w:r>
              <w:rPr>
                <w:rFonts w:ascii="宋体" w:hAnsi="宋体" w:hint="eastAsia"/>
              </w:rPr>
              <w:t>价值</w:t>
            </w:r>
          </w:p>
        </w:tc>
        <w:tc>
          <w:tcPr>
            <w:tcW w:w="810"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rPr>
            </w:pPr>
            <w:r>
              <w:rPr>
                <w:rFonts w:ascii="宋体" w:hAnsi="宋体" w:hint="eastAsia"/>
              </w:rPr>
              <w:t>会计核算科目</w:t>
            </w:r>
          </w:p>
        </w:tc>
        <w:tc>
          <w:tcPr>
            <w:tcW w:w="691"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rPr>
            </w:pPr>
            <w:r>
              <w:rPr>
                <w:rFonts w:ascii="宋体" w:hAnsi="宋体" w:hint="eastAsia"/>
              </w:rPr>
              <w:t>资金来源</w:t>
            </w:r>
          </w:p>
        </w:tc>
      </w:tr>
      <w:tr w:rsidR="006D5885">
        <w:trPr>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境内外股票</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300454</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深信服</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12,358.77</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公允价值计量</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rPr>
            </w:pPr>
            <w:r>
              <w:rPr>
                <w:rFonts w:cs="Times New Roman"/>
              </w:rPr>
              <w:t>-</w:t>
            </w:r>
          </w:p>
        </w:tc>
        <w:tc>
          <w:tcPr>
            <w:tcW w:w="121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rPr>
            </w:pPr>
            <w:r>
              <w:rPr>
                <w:rFonts w:cs="Times New Roman"/>
              </w:rPr>
              <w:t>-</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rPr>
            </w:pPr>
            <w:r>
              <w:rPr>
                <w:rFonts w:cs="Times New Roman"/>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12,358.77</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45,210.00</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30,937.48</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交易性金融资产</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自有资金</w:t>
            </w:r>
          </w:p>
        </w:tc>
      </w:tr>
      <w:tr w:rsidR="006D5885">
        <w:trPr>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境内外股票</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300746</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汉嘉设计</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2,169.32</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公允价值计量</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rPr>
            </w:pPr>
            <w:r>
              <w:rPr>
                <w:rFonts w:cs="Times New Roman"/>
              </w:rPr>
              <w:t>-</w:t>
            </w:r>
          </w:p>
        </w:tc>
        <w:tc>
          <w:tcPr>
            <w:tcW w:w="121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rPr>
            </w:pPr>
            <w:r>
              <w:rPr>
                <w:rFonts w:cs="Times New Roman"/>
              </w:rPr>
              <w:t>-</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rPr>
            </w:pPr>
            <w:r>
              <w:rPr>
                <w:rFonts w:cs="Times New Roman"/>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2,169.32</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13,058.38</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10,254.64</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交易性金融资产</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自有资金</w:t>
            </w:r>
          </w:p>
        </w:tc>
      </w:tr>
      <w:tr w:rsidR="006D5885">
        <w:trPr>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境内外股票</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300745</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欣锐科技</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3,518.30</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公允价值计量</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rPr>
            </w:pPr>
            <w:r>
              <w:rPr>
                <w:rFonts w:cs="Times New Roman"/>
              </w:rPr>
              <w:t>-</w:t>
            </w:r>
          </w:p>
        </w:tc>
        <w:tc>
          <w:tcPr>
            <w:tcW w:w="121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rPr>
            </w:pPr>
            <w:r>
              <w:rPr>
                <w:rFonts w:cs="Times New Roman"/>
              </w:rPr>
              <w:t>-</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rPr>
            </w:pPr>
            <w:r>
              <w:rPr>
                <w:rFonts w:cs="Times New Roman"/>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3,518.30</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18,488.32</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14,099.17</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交易性金融资产</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自有资金</w:t>
            </w:r>
          </w:p>
        </w:tc>
      </w:tr>
      <w:tr w:rsidR="006D5885">
        <w:trPr>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境内外股票</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002933</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新兴装备</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7,430.95</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公允价值计量</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rPr>
            </w:pPr>
            <w:r>
              <w:rPr>
                <w:rFonts w:cs="Times New Roman"/>
              </w:rPr>
              <w:t>-</w:t>
            </w:r>
          </w:p>
        </w:tc>
        <w:tc>
          <w:tcPr>
            <w:tcW w:w="121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rPr>
            </w:pPr>
            <w:r>
              <w:rPr>
                <w:rFonts w:cs="Times New Roman"/>
              </w:rPr>
              <w:t>-</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rPr>
            </w:pPr>
            <w:r>
              <w:rPr>
                <w:rFonts w:cs="Times New Roman"/>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7,430.95</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23,405.70</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15,042.12</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交易性金融资产</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自有资金</w:t>
            </w:r>
          </w:p>
        </w:tc>
      </w:tr>
      <w:tr w:rsidR="006D5885">
        <w:trPr>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境内外股票</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002935</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天奥电子</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5,930.28</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公允价值计量</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rPr>
            </w:pPr>
            <w:r>
              <w:rPr>
                <w:rFonts w:cs="Times New Roman"/>
              </w:rPr>
              <w:t>-</w:t>
            </w:r>
          </w:p>
        </w:tc>
        <w:tc>
          <w:tcPr>
            <w:tcW w:w="121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rPr>
            </w:pPr>
            <w:r>
              <w:rPr>
                <w:rFonts w:cs="Times New Roman"/>
              </w:rPr>
              <w:t>-</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rPr>
            </w:pPr>
            <w:r>
              <w:rPr>
                <w:rFonts w:cs="Times New Roman"/>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5,930.28</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18,668.22</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11,993.26</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交易性金融资产</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自有资金</w:t>
            </w:r>
          </w:p>
        </w:tc>
      </w:tr>
      <w:tr w:rsidR="006D5885">
        <w:trPr>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境内外股票</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002938</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鹏鼎控股</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37,105.63</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公允价值计量</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rPr>
            </w:pPr>
            <w:r>
              <w:rPr>
                <w:rFonts w:cs="Times New Roman"/>
              </w:rPr>
              <w:t>-</w:t>
            </w:r>
          </w:p>
        </w:tc>
        <w:tc>
          <w:tcPr>
            <w:tcW w:w="121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rPr>
            </w:pPr>
            <w:r>
              <w:rPr>
                <w:rFonts w:cs="Times New Roman"/>
              </w:rPr>
              <w:t>-</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rPr>
            </w:pPr>
            <w:r>
              <w:rPr>
                <w:rFonts w:cs="Times New Roman"/>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37,105.63</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64,167.11</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25,452.69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交易性金融资产</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自有资金</w:t>
            </w:r>
          </w:p>
        </w:tc>
      </w:tr>
      <w:tr w:rsidR="006D5885">
        <w:trPr>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境内外股票</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300748</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金力永磁</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2,953.72</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公允价值计量</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rPr>
            </w:pPr>
            <w:r>
              <w:rPr>
                <w:rFonts w:cs="Times New Roman"/>
              </w:rPr>
              <w:t>-</w:t>
            </w:r>
          </w:p>
        </w:tc>
        <w:tc>
          <w:tcPr>
            <w:tcW w:w="121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3,271.56</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2,953.72</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3,271.56</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6,225.28</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交易性金融资产</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自有资金</w:t>
            </w:r>
          </w:p>
        </w:tc>
      </w:tr>
      <w:tr w:rsidR="006D5885">
        <w:trPr>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境内外股票</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002936</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郑州银行</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31,285.44</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公允价值计量</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rPr>
            </w:pPr>
            <w:r>
              <w:rPr>
                <w:rFonts w:cs="Times New Roman"/>
              </w:rPr>
              <w:t>-</w:t>
            </w:r>
          </w:p>
        </w:tc>
        <w:tc>
          <w:tcPr>
            <w:tcW w:w="121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rPr>
            </w:pPr>
            <w:r>
              <w:rPr>
                <w:rFonts w:cs="Times New Roman"/>
              </w:rPr>
              <w:t>-</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rPr>
            </w:pPr>
            <w:r>
              <w:rPr>
                <w:rFonts w:cs="Times New Roman"/>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31,285.44</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51,188.16</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18,714.72</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交易性金融资产</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自有资金</w:t>
            </w:r>
          </w:p>
        </w:tc>
      </w:tr>
      <w:tr w:rsidR="006D5885">
        <w:trPr>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境内外股票</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002937</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兴瑞科技</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5,288.08</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公允价值计量</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rPr>
            </w:pPr>
            <w:r>
              <w:rPr>
                <w:rFonts w:cs="Times New Roman"/>
              </w:rPr>
              <w:t>-</w:t>
            </w:r>
          </w:p>
        </w:tc>
        <w:tc>
          <w:tcPr>
            <w:tcW w:w="121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3,920.84</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5,288.08</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3,920.84</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9,208.92</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交易性金融资产</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自有资金</w:t>
            </w:r>
          </w:p>
        </w:tc>
      </w:tr>
      <w:tr w:rsidR="006D5885">
        <w:trPr>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境内外股票</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300749</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顶固集创</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3,934.84</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公允价值计量</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rPr>
            </w:pPr>
            <w:r>
              <w:rPr>
                <w:rFonts w:cs="Times New Roman"/>
              </w:rPr>
              <w:t>-</w:t>
            </w:r>
          </w:p>
        </w:tc>
        <w:tc>
          <w:tcPr>
            <w:tcW w:w="121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3,609.62</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3,934.84</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3,609.62</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7,544.46</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交易性金融资产</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自有资金</w:t>
            </w:r>
          </w:p>
        </w:tc>
      </w:tr>
      <w:tr w:rsidR="006D5885">
        <w:trPr>
          <w:jc w:val="center"/>
        </w:trPr>
        <w:tc>
          <w:tcPr>
            <w:tcW w:w="3409"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rPr>
            </w:pPr>
            <w:r>
              <w:rPr>
                <w:rFonts w:ascii="宋体" w:hAnsi="宋体" w:hint="eastAsia"/>
              </w:rPr>
              <w:t>期末持有的其他证券投资</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rPr>
            </w:pPr>
            <w:r>
              <w:rPr>
                <w:rFonts w:cs="Times New Roman"/>
              </w:rPr>
              <w:t>0.00</w:t>
            </w:r>
          </w:p>
        </w:tc>
        <w:tc>
          <w:tcPr>
            <w:tcW w:w="1320"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rPr>
            </w:pPr>
            <w:r>
              <w:rPr>
                <w:rFonts w:cs="Times New Roman"/>
              </w:rPr>
              <w:t>--</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rPr>
            </w:pPr>
          </w:p>
        </w:tc>
        <w:tc>
          <w:tcPr>
            <w:tcW w:w="121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rPr>
            </w:pP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rPr>
            </w:pP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rPr>
            </w:pPr>
          </w:p>
        </w:tc>
        <w:tc>
          <w:tcPr>
            <w:tcW w:w="810"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rPr>
            </w:pPr>
            <w:r>
              <w:rPr>
                <w:rFonts w:cs="Times New Roman"/>
              </w:rPr>
              <w:t>--</w:t>
            </w:r>
          </w:p>
        </w:tc>
        <w:tc>
          <w:tcPr>
            <w:tcW w:w="691"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rPr>
            </w:pPr>
            <w:r>
              <w:rPr>
                <w:rFonts w:cs="Times New Roman"/>
              </w:rPr>
              <w:t>--</w:t>
            </w:r>
          </w:p>
        </w:tc>
      </w:tr>
      <w:tr w:rsidR="006D5885">
        <w:trPr>
          <w:jc w:val="center"/>
        </w:trPr>
        <w:tc>
          <w:tcPr>
            <w:tcW w:w="3409"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rPr>
            </w:pPr>
            <w:r>
              <w:rPr>
                <w:rFonts w:ascii="宋体" w:hAnsi="宋体" w:hint="eastAsia"/>
              </w:rPr>
              <w:t>合计</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111,975.33</w:t>
            </w:r>
          </w:p>
        </w:tc>
        <w:tc>
          <w:tcPr>
            <w:tcW w:w="1320"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rPr>
            </w:pPr>
            <w:r>
              <w:rPr>
                <w:rFonts w:cs="Times New Roman"/>
              </w:rPr>
              <w:t>--</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cs="Times New Roman"/>
              </w:rPr>
            </w:pPr>
            <w:r>
              <w:rPr>
                <w:rFonts w:cs="Times New Roman"/>
              </w:rPr>
              <w:t>0.00</w:t>
            </w:r>
          </w:p>
        </w:tc>
        <w:tc>
          <w:tcPr>
            <w:tcW w:w="121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10,802.02</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111,975.33</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234,185.89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137,296.10</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22,978.66</w:t>
            </w:r>
          </w:p>
        </w:tc>
        <w:tc>
          <w:tcPr>
            <w:tcW w:w="810"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rPr>
            </w:pPr>
            <w:r>
              <w:rPr>
                <w:rFonts w:cs="Times New Roman"/>
              </w:rPr>
              <w:t>--</w:t>
            </w:r>
          </w:p>
        </w:tc>
        <w:tc>
          <w:tcPr>
            <w:tcW w:w="691"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rPr>
            </w:pPr>
            <w:r>
              <w:rPr>
                <w:rFonts w:cs="Times New Roman"/>
              </w:rPr>
              <w:t>--</w:t>
            </w:r>
          </w:p>
        </w:tc>
      </w:tr>
      <w:tr w:rsidR="006D5885">
        <w:trPr>
          <w:jc w:val="center"/>
        </w:trPr>
        <w:tc>
          <w:tcPr>
            <w:tcW w:w="3409"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rPr>
            </w:pPr>
            <w:r>
              <w:rPr>
                <w:rFonts w:ascii="宋体" w:hAnsi="宋体" w:hint="eastAsia"/>
              </w:rPr>
              <w:t>证券投资审批董事会公告披露日期</w:t>
            </w:r>
          </w:p>
        </w:tc>
        <w:tc>
          <w:tcPr>
            <w:tcW w:w="11850"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rPr>
              <w:t>2018</w:t>
            </w:r>
            <w:r>
              <w:rPr>
                <w:rFonts w:ascii="宋体" w:hAnsi="宋体" w:hint="eastAsia"/>
              </w:rPr>
              <w:t>年</w:t>
            </w:r>
            <w:r>
              <w:rPr>
                <w:rFonts w:ascii="宋体" w:hAnsi="宋体"/>
              </w:rPr>
              <w:t>03</w:t>
            </w:r>
            <w:r>
              <w:rPr>
                <w:rFonts w:ascii="宋体" w:hAnsi="宋体" w:hint="eastAsia"/>
              </w:rPr>
              <w:t>月</w:t>
            </w:r>
            <w:r>
              <w:rPr>
                <w:rFonts w:ascii="宋体" w:hAnsi="宋体"/>
              </w:rPr>
              <w:t>10</w:t>
            </w:r>
            <w:r>
              <w:rPr>
                <w:rFonts w:ascii="宋体" w:hAnsi="宋体" w:hint="eastAsia"/>
              </w:rPr>
              <w:t>日</w:t>
            </w:r>
          </w:p>
        </w:tc>
      </w:tr>
      <w:tr w:rsidR="006D5885">
        <w:trPr>
          <w:jc w:val="center"/>
        </w:trPr>
        <w:tc>
          <w:tcPr>
            <w:tcW w:w="3409"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rPr>
            </w:pPr>
            <w:r>
              <w:rPr>
                <w:rFonts w:ascii="宋体" w:hAnsi="宋体" w:hint="eastAsia"/>
              </w:rPr>
              <w:t>证券投资审批股东会公告披露日期</w:t>
            </w:r>
          </w:p>
        </w:tc>
        <w:tc>
          <w:tcPr>
            <w:tcW w:w="11850"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rPr>
            </w:pPr>
            <w:r>
              <w:rPr>
                <w:rFonts w:ascii="宋体" w:hAnsi="宋体" w:hint="eastAsia"/>
              </w:rPr>
              <w:t>无</w:t>
            </w:r>
          </w:p>
        </w:tc>
      </w:tr>
    </w:tbl>
    <w:p w:rsidR="006D5885" w:rsidRDefault="006D5885">
      <w:pPr>
        <w:pStyle w:val="Chapter"/>
        <w:spacing w:before="0" w:after="0" w:line="360" w:lineRule="auto"/>
        <w:outlineLvl w:val="1"/>
        <w:rPr>
          <w:rFonts w:cs="Times New Roman"/>
        </w:rPr>
      </w:pPr>
      <w:r>
        <w:rPr>
          <w:rFonts w:ascii="宋体" w:hAnsi="宋体" w:hint="eastAsia"/>
        </w:rPr>
        <w:t>六、委托理财</w:t>
      </w:r>
    </w:p>
    <w:p w:rsidR="006D5885" w:rsidRDefault="006D5885">
      <w:pPr>
        <w:spacing w:before="0" w:after="0" w:line="360" w:lineRule="auto"/>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适用</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不适用</w:t>
      </w:r>
      <w:r>
        <w:rPr>
          <w:rFonts w:ascii="宋体" w:hAnsi="宋体"/>
          <w:sz w:val="24"/>
          <w:szCs w:val="24"/>
        </w:rPr>
        <w:t xml:space="preserve"> </w:t>
      </w:r>
    </w:p>
    <w:p w:rsidR="006D5885" w:rsidRDefault="006D5885">
      <w:pPr>
        <w:spacing w:before="0" w:after="0" w:line="360" w:lineRule="auto"/>
        <w:jc w:val="center"/>
        <w:rPr>
          <w:rFonts w:eastAsia="Times New Roman" w:cs="Times New Roman"/>
          <w:sz w:val="24"/>
          <w:szCs w:val="24"/>
        </w:rPr>
      </w:pPr>
      <w:r>
        <w:rPr>
          <w:rFonts w:cs="Times New Roman"/>
          <w:sz w:val="24"/>
          <w:szCs w:val="24"/>
        </w:rPr>
        <w:t xml:space="preserve">                      </w:t>
      </w:r>
      <w:r>
        <w:rPr>
          <w:rFonts w:hint="eastAsia"/>
          <w:sz w:val="24"/>
          <w:szCs w:val="24"/>
        </w:rPr>
        <w:t>单位：万元</w:t>
      </w:r>
    </w:p>
    <w:tbl>
      <w:tblPr>
        <w:tblW w:w="0" w:type="auto"/>
        <w:tblLayout w:type="fixed"/>
        <w:tblLook w:val="0000" w:firstRow="0" w:lastRow="0" w:firstColumn="0" w:lastColumn="0" w:noHBand="0" w:noVBand="0"/>
      </w:tblPr>
      <w:tblGrid>
        <w:gridCol w:w="1748"/>
        <w:gridCol w:w="2205"/>
        <w:gridCol w:w="1855"/>
        <w:gridCol w:w="1909"/>
        <w:gridCol w:w="1966"/>
      </w:tblGrid>
      <w:tr w:rsidR="006D5885">
        <w:tc>
          <w:tcPr>
            <w:tcW w:w="1748"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具体类型</w:t>
            </w:r>
          </w:p>
        </w:tc>
        <w:tc>
          <w:tcPr>
            <w:tcW w:w="2205"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委托理财的资金来源</w:t>
            </w:r>
          </w:p>
        </w:tc>
        <w:tc>
          <w:tcPr>
            <w:tcW w:w="1855"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委托理财发生额</w:t>
            </w:r>
          </w:p>
        </w:tc>
        <w:tc>
          <w:tcPr>
            <w:tcW w:w="1909"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未到期余额</w:t>
            </w:r>
          </w:p>
        </w:tc>
        <w:tc>
          <w:tcPr>
            <w:tcW w:w="1966"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逾期未收回的金额</w:t>
            </w:r>
          </w:p>
        </w:tc>
      </w:tr>
      <w:tr w:rsidR="006D5885">
        <w:tc>
          <w:tcPr>
            <w:tcW w:w="1748"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银行理财产品</w:t>
            </w:r>
          </w:p>
        </w:tc>
        <w:tc>
          <w:tcPr>
            <w:tcW w:w="220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闲置自有资金</w:t>
            </w: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162,440</w:t>
            </w:r>
          </w:p>
        </w:tc>
        <w:tc>
          <w:tcPr>
            <w:tcW w:w="190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36,150</w:t>
            </w:r>
          </w:p>
        </w:tc>
        <w:tc>
          <w:tcPr>
            <w:tcW w:w="196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0</w:t>
            </w:r>
          </w:p>
        </w:tc>
      </w:tr>
      <w:tr w:rsidR="006D5885">
        <w:tc>
          <w:tcPr>
            <w:tcW w:w="1748"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银行理财产品</w:t>
            </w:r>
          </w:p>
        </w:tc>
        <w:tc>
          <w:tcPr>
            <w:tcW w:w="220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闲置募集资金</w:t>
            </w: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98,000</w:t>
            </w:r>
          </w:p>
        </w:tc>
        <w:tc>
          <w:tcPr>
            <w:tcW w:w="190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30,000</w:t>
            </w:r>
          </w:p>
        </w:tc>
        <w:tc>
          <w:tcPr>
            <w:tcW w:w="196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0</w:t>
            </w:r>
          </w:p>
        </w:tc>
      </w:tr>
      <w:tr w:rsidR="006D5885">
        <w:tc>
          <w:tcPr>
            <w:tcW w:w="395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cs="Times New Roman"/>
                <w:sz w:val="21"/>
                <w:szCs w:val="21"/>
              </w:rPr>
            </w:pPr>
            <w:r>
              <w:rPr>
                <w:rFonts w:ascii="宋体" w:hAnsi="宋体" w:hint="eastAsia"/>
                <w:sz w:val="21"/>
                <w:szCs w:val="21"/>
              </w:rPr>
              <w:t>合计</w:t>
            </w: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260,440</w:t>
            </w:r>
          </w:p>
        </w:tc>
        <w:tc>
          <w:tcPr>
            <w:tcW w:w="190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66,150</w:t>
            </w:r>
          </w:p>
        </w:tc>
        <w:tc>
          <w:tcPr>
            <w:tcW w:w="196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0</w:t>
            </w:r>
          </w:p>
        </w:tc>
      </w:tr>
    </w:tbl>
    <w:p w:rsidR="006D5885" w:rsidRDefault="006D5885">
      <w:pPr>
        <w:spacing w:before="0" w:after="0" w:line="360" w:lineRule="auto"/>
        <w:rPr>
          <w:rFonts w:cs="Times New Roman"/>
          <w:sz w:val="24"/>
          <w:szCs w:val="24"/>
        </w:rPr>
      </w:pPr>
    </w:p>
    <w:p w:rsidR="006D5885" w:rsidRDefault="006D5885">
      <w:pPr>
        <w:spacing w:before="0" w:after="0" w:line="360" w:lineRule="auto"/>
        <w:rPr>
          <w:rFonts w:cs="Times New Roman"/>
          <w:sz w:val="24"/>
          <w:szCs w:val="24"/>
        </w:rPr>
      </w:pPr>
      <w:r>
        <w:rPr>
          <w:rFonts w:ascii="宋体" w:hAnsi="宋体" w:hint="eastAsia"/>
          <w:sz w:val="24"/>
          <w:szCs w:val="24"/>
        </w:rPr>
        <w:t>单项金额重大或安全性较低、流动性较差、不保本的高风险委托理财具体情况</w:t>
      </w:r>
    </w:p>
    <w:p w:rsidR="006D5885" w:rsidRDefault="006D5885">
      <w:pPr>
        <w:spacing w:before="0" w:after="0" w:line="360" w:lineRule="auto"/>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适用</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不适用</w:t>
      </w:r>
      <w:r>
        <w:rPr>
          <w:rFonts w:ascii="宋体" w:hAnsi="宋体"/>
          <w:sz w:val="24"/>
          <w:szCs w:val="24"/>
        </w:rPr>
        <w:t xml:space="preserve"> </w:t>
      </w:r>
    </w:p>
    <w:p w:rsidR="006D5885" w:rsidRDefault="006D5885">
      <w:pPr>
        <w:spacing w:before="0" w:after="0" w:line="360" w:lineRule="auto"/>
        <w:jc w:val="right"/>
        <w:rPr>
          <w:rFonts w:eastAsia="Times New Roman" w:cs="Times New Roman"/>
          <w:sz w:val="24"/>
          <w:szCs w:val="24"/>
        </w:rPr>
      </w:pPr>
      <w:r>
        <w:rPr>
          <w:rFonts w:hint="eastAsia"/>
          <w:sz w:val="24"/>
          <w:szCs w:val="24"/>
        </w:rPr>
        <w:t>单位：万元</w:t>
      </w:r>
    </w:p>
    <w:tbl>
      <w:tblPr>
        <w:tblW w:w="0" w:type="auto"/>
        <w:jc w:val="center"/>
        <w:tblLayout w:type="fixed"/>
        <w:tblLook w:val="0000" w:firstRow="0" w:lastRow="0" w:firstColumn="0" w:lastColumn="0" w:noHBand="0" w:noVBand="0"/>
      </w:tblPr>
      <w:tblGrid>
        <w:gridCol w:w="994"/>
        <w:gridCol w:w="649"/>
        <w:gridCol w:w="636"/>
        <w:gridCol w:w="869"/>
        <w:gridCol w:w="746"/>
        <w:gridCol w:w="1049"/>
        <w:gridCol w:w="953"/>
        <w:gridCol w:w="925"/>
        <w:gridCol w:w="746"/>
        <w:gridCol w:w="704"/>
        <w:gridCol w:w="759"/>
        <w:gridCol w:w="1019"/>
        <w:gridCol w:w="810"/>
        <w:gridCol w:w="660"/>
        <w:gridCol w:w="720"/>
        <w:gridCol w:w="750"/>
        <w:gridCol w:w="795"/>
        <w:gridCol w:w="795"/>
      </w:tblGrid>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eastAsia="Times New Roman" w:cs="Times New Roman"/>
              </w:rPr>
            </w:pPr>
            <w:r>
              <w:rPr>
                <w:rFonts w:ascii="宋体" w:hAnsi="宋体" w:hint="eastAsia"/>
              </w:rPr>
              <w:t>受托机构名称（或受托人姓名）</w:t>
            </w:r>
          </w:p>
        </w:tc>
        <w:tc>
          <w:tcPr>
            <w:tcW w:w="649"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eastAsia="Times New Roman" w:cs="Times New Roman"/>
              </w:rPr>
            </w:pPr>
            <w:r>
              <w:rPr>
                <w:rFonts w:ascii="宋体" w:hAnsi="宋体" w:hint="eastAsia"/>
              </w:rPr>
              <w:t>受托机构（或受托人）类型</w:t>
            </w:r>
          </w:p>
        </w:tc>
        <w:tc>
          <w:tcPr>
            <w:tcW w:w="636"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eastAsia="Times New Roman" w:cs="Times New Roman"/>
              </w:rPr>
            </w:pPr>
            <w:r>
              <w:rPr>
                <w:rFonts w:ascii="宋体" w:hAnsi="宋体" w:hint="eastAsia"/>
              </w:rPr>
              <w:t>产品类型</w:t>
            </w:r>
          </w:p>
        </w:tc>
        <w:tc>
          <w:tcPr>
            <w:tcW w:w="869"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eastAsia="Times New Roman" w:cs="Times New Roman"/>
              </w:rPr>
            </w:pPr>
            <w:r>
              <w:rPr>
                <w:rFonts w:ascii="宋体" w:hAnsi="宋体" w:hint="eastAsia"/>
              </w:rPr>
              <w:t>金额</w:t>
            </w:r>
          </w:p>
        </w:tc>
        <w:tc>
          <w:tcPr>
            <w:tcW w:w="746"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eastAsia="Times New Roman" w:cs="Times New Roman"/>
              </w:rPr>
            </w:pPr>
            <w:r>
              <w:rPr>
                <w:rFonts w:ascii="宋体" w:hAnsi="宋体" w:hint="eastAsia"/>
              </w:rPr>
              <w:t>资金来源</w:t>
            </w:r>
          </w:p>
        </w:tc>
        <w:tc>
          <w:tcPr>
            <w:tcW w:w="1049"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eastAsia="Times New Roman" w:cs="Times New Roman"/>
              </w:rPr>
            </w:pPr>
            <w:r>
              <w:rPr>
                <w:rFonts w:ascii="宋体" w:hAnsi="宋体" w:hint="eastAsia"/>
              </w:rPr>
              <w:t>起始日期</w:t>
            </w:r>
          </w:p>
        </w:tc>
        <w:tc>
          <w:tcPr>
            <w:tcW w:w="953"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eastAsia="Times New Roman" w:cs="Times New Roman"/>
              </w:rPr>
            </w:pPr>
            <w:r>
              <w:rPr>
                <w:rFonts w:ascii="宋体" w:hAnsi="宋体" w:hint="eastAsia"/>
              </w:rPr>
              <w:t>终止日期</w:t>
            </w:r>
          </w:p>
        </w:tc>
        <w:tc>
          <w:tcPr>
            <w:tcW w:w="925"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eastAsia="Times New Roman" w:cs="Times New Roman"/>
              </w:rPr>
            </w:pPr>
            <w:r>
              <w:rPr>
                <w:rFonts w:ascii="宋体" w:hAnsi="宋体" w:hint="eastAsia"/>
              </w:rPr>
              <w:t>资金投向</w:t>
            </w:r>
          </w:p>
        </w:tc>
        <w:tc>
          <w:tcPr>
            <w:tcW w:w="746"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eastAsia="Times New Roman" w:cs="Times New Roman"/>
              </w:rPr>
            </w:pPr>
            <w:r>
              <w:rPr>
                <w:rFonts w:ascii="宋体" w:hAnsi="宋体" w:hint="eastAsia"/>
              </w:rPr>
              <w:t>报酬确定方式</w:t>
            </w:r>
          </w:p>
        </w:tc>
        <w:tc>
          <w:tcPr>
            <w:tcW w:w="704"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eastAsia="Times New Roman" w:cs="Times New Roman"/>
              </w:rPr>
            </w:pPr>
            <w:r>
              <w:rPr>
                <w:rFonts w:ascii="宋体" w:hAnsi="宋体" w:hint="eastAsia"/>
              </w:rPr>
              <w:t>参考年化收益率</w:t>
            </w:r>
          </w:p>
        </w:tc>
        <w:tc>
          <w:tcPr>
            <w:tcW w:w="759"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eastAsia="Times New Roman" w:cs="Times New Roman"/>
              </w:rPr>
            </w:pPr>
            <w:r>
              <w:rPr>
                <w:rFonts w:ascii="宋体" w:hAnsi="宋体" w:hint="eastAsia"/>
              </w:rPr>
              <w:t>预期</w:t>
            </w:r>
          </w:p>
          <w:p w:rsidR="006D5885" w:rsidRDefault="006D5885">
            <w:pPr>
              <w:jc w:val="center"/>
              <w:rPr>
                <w:rFonts w:eastAsia="Times New Roman" w:cs="Times New Roman"/>
              </w:rPr>
            </w:pPr>
            <w:r>
              <w:rPr>
                <w:rFonts w:ascii="宋体" w:hAnsi="宋体" w:hint="eastAsia"/>
              </w:rPr>
              <w:t>收益</w:t>
            </w:r>
          </w:p>
        </w:tc>
        <w:tc>
          <w:tcPr>
            <w:tcW w:w="1019"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eastAsia="Times New Roman" w:cs="Times New Roman"/>
              </w:rPr>
            </w:pPr>
            <w:r>
              <w:rPr>
                <w:rFonts w:ascii="宋体" w:hAnsi="宋体" w:hint="eastAsia"/>
              </w:rPr>
              <w:t>报告期实际损益金额</w:t>
            </w:r>
          </w:p>
        </w:tc>
        <w:tc>
          <w:tcPr>
            <w:tcW w:w="810"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eastAsia="Times New Roman" w:cs="Times New Roman"/>
              </w:rPr>
            </w:pPr>
            <w:r>
              <w:rPr>
                <w:rFonts w:ascii="宋体" w:hAnsi="宋体" w:hint="eastAsia"/>
              </w:rPr>
              <w:t>报告期损益实际收回情况</w:t>
            </w:r>
          </w:p>
        </w:tc>
        <w:tc>
          <w:tcPr>
            <w:tcW w:w="660"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eastAsia="Times New Roman" w:cs="Times New Roman"/>
              </w:rPr>
            </w:pPr>
            <w:r>
              <w:rPr>
                <w:rFonts w:ascii="宋体" w:hAnsi="宋体" w:hint="eastAsia"/>
              </w:rPr>
              <w:t>计提减值准备金额</w:t>
            </w:r>
          </w:p>
        </w:tc>
        <w:tc>
          <w:tcPr>
            <w:tcW w:w="720"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eastAsia="Times New Roman" w:cs="Times New Roman"/>
              </w:rPr>
            </w:pPr>
            <w:r>
              <w:rPr>
                <w:rFonts w:ascii="宋体" w:hAnsi="宋体" w:hint="eastAsia"/>
              </w:rPr>
              <w:t>是否经过法定程序</w:t>
            </w:r>
          </w:p>
        </w:tc>
        <w:tc>
          <w:tcPr>
            <w:tcW w:w="750"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eastAsia="Times New Roman" w:cs="Times New Roman"/>
              </w:rPr>
            </w:pPr>
            <w:r>
              <w:rPr>
                <w:rFonts w:ascii="宋体" w:hAnsi="宋体" w:hint="eastAsia"/>
              </w:rPr>
              <w:t>未来是否还有委托理财计划</w:t>
            </w:r>
          </w:p>
        </w:tc>
        <w:tc>
          <w:tcPr>
            <w:tcW w:w="795"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eastAsia="Times New Roman" w:cs="Times New Roman"/>
              </w:rPr>
            </w:pPr>
            <w:r>
              <w:rPr>
                <w:rFonts w:ascii="宋体" w:hAnsi="宋体" w:hint="eastAsia"/>
              </w:rPr>
              <w:t>事项概述及相关查询索引</w:t>
            </w:r>
          </w:p>
        </w:tc>
        <w:tc>
          <w:tcPr>
            <w:tcW w:w="795"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rPr>
            </w:pPr>
            <w:r>
              <w:rPr>
                <w:rFonts w:ascii="宋体" w:hAnsi="宋体" w:hint="eastAsia"/>
              </w:rPr>
              <w:t>备注</w:t>
            </w: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兴业银行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保本型银行理财产品</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3,000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2017</w:t>
            </w:r>
            <w:r>
              <w:rPr>
                <w:rFonts w:ascii="宋体" w:hAnsi="宋体" w:hint="eastAsia"/>
              </w:rPr>
              <w:t>年</w:t>
            </w:r>
            <w:r>
              <w:rPr>
                <w:rFonts w:ascii="宋体" w:hAnsi="宋体"/>
              </w:rPr>
              <w:t>11</w:t>
            </w:r>
            <w:r>
              <w:rPr>
                <w:rFonts w:ascii="宋体" w:hAnsi="宋体" w:hint="eastAsia"/>
              </w:rPr>
              <w:t>月</w:t>
            </w:r>
            <w:r>
              <w:rPr>
                <w:rFonts w:ascii="宋体" w:hAnsi="宋体"/>
              </w:rPr>
              <w:t>28</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02</w:t>
            </w:r>
            <w:r>
              <w:rPr>
                <w:rFonts w:ascii="宋体" w:hAnsi="宋体" w:hint="eastAsia"/>
              </w:rPr>
              <w:t>月</w:t>
            </w:r>
            <w:r>
              <w:rPr>
                <w:rFonts w:ascii="宋体" w:hAnsi="宋体"/>
              </w:rPr>
              <w:t>28</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4.80%</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36.3</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36.30</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工商银行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保本型银行理财产品</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650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2017</w:t>
            </w:r>
            <w:r>
              <w:rPr>
                <w:rFonts w:ascii="宋体" w:hAnsi="宋体" w:hint="eastAsia"/>
              </w:rPr>
              <w:t>年</w:t>
            </w:r>
            <w:r>
              <w:rPr>
                <w:rFonts w:ascii="宋体" w:hAnsi="宋体"/>
              </w:rPr>
              <w:t>12</w:t>
            </w:r>
            <w:r>
              <w:rPr>
                <w:rFonts w:ascii="宋体" w:hAnsi="宋体" w:hint="eastAsia"/>
              </w:rPr>
              <w:t>月</w:t>
            </w:r>
            <w:r>
              <w:rPr>
                <w:rFonts w:ascii="宋体" w:hAnsi="宋体"/>
              </w:rPr>
              <w:t>26</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04</w:t>
            </w:r>
            <w:r>
              <w:rPr>
                <w:rFonts w:ascii="宋体" w:hAnsi="宋体" w:hint="eastAsia"/>
              </w:rPr>
              <w:t>月</w:t>
            </w:r>
            <w:r>
              <w:rPr>
                <w:rFonts w:ascii="宋体" w:hAnsi="宋体"/>
              </w:rPr>
              <w:t>10</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4.00%</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7.48</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7.48</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平安银行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结构性存款</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25,000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闲置募集资金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2017</w:t>
            </w:r>
            <w:r>
              <w:rPr>
                <w:rFonts w:ascii="宋体" w:hAnsi="宋体" w:hint="eastAsia"/>
              </w:rPr>
              <w:t>年</w:t>
            </w:r>
            <w:r>
              <w:rPr>
                <w:rFonts w:ascii="宋体" w:hAnsi="宋体"/>
              </w:rPr>
              <w:t>12</w:t>
            </w:r>
            <w:r>
              <w:rPr>
                <w:rFonts w:ascii="宋体" w:hAnsi="宋体" w:hint="eastAsia"/>
              </w:rPr>
              <w:t>月</w:t>
            </w:r>
            <w:r>
              <w:rPr>
                <w:rFonts w:ascii="宋体" w:hAnsi="宋体"/>
              </w:rPr>
              <w:t>29</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03</w:t>
            </w:r>
            <w:r>
              <w:rPr>
                <w:rFonts w:ascii="宋体" w:hAnsi="宋体" w:hint="eastAsia"/>
              </w:rPr>
              <w:t>月</w:t>
            </w:r>
            <w:r>
              <w:rPr>
                <w:rFonts w:ascii="宋体" w:hAnsi="宋体"/>
              </w:rPr>
              <w:t>30</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5.20%</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324.11</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324.11</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平安银行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结构性存款</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15,000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2017</w:t>
            </w:r>
            <w:r>
              <w:rPr>
                <w:rFonts w:ascii="宋体" w:hAnsi="宋体" w:hint="eastAsia"/>
              </w:rPr>
              <w:t>年</w:t>
            </w:r>
            <w:r>
              <w:rPr>
                <w:rFonts w:ascii="宋体" w:hAnsi="宋体"/>
              </w:rPr>
              <w:t>12</w:t>
            </w:r>
            <w:r>
              <w:rPr>
                <w:rFonts w:ascii="宋体" w:hAnsi="宋体" w:hint="eastAsia"/>
              </w:rPr>
              <w:t>月</w:t>
            </w:r>
            <w:r>
              <w:rPr>
                <w:rFonts w:ascii="宋体" w:hAnsi="宋体"/>
              </w:rPr>
              <w:t>29</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03</w:t>
            </w:r>
            <w:r>
              <w:rPr>
                <w:rFonts w:ascii="宋体" w:hAnsi="宋体" w:hint="eastAsia"/>
              </w:rPr>
              <w:t>月</w:t>
            </w:r>
            <w:r>
              <w:rPr>
                <w:rFonts w:ascii="宋体" w:hAnsi="宋体"/>
              </w:rPr>
              <w:t>30</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5.20%</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194.47</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194.47</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中信银行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保本型银行理财产品</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3,000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01</w:t>
            </w:r>
            <w:r>
              <w:rPr>
                <w:rFonts w:ascii="宋体" w:hAnsi="宋体" w:hint="eastAsia"/>
              </w:rPr>
              <w:t>月</w:t>
            </w:r>
            <w:r>
              <w:rPr>
                <w:rFonts w:ascii="宋体" w:hAnsi="宋体"/>
              </w:rPr>
              <w:t>03</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01</w:t>
            </w:r>
            <w:r>
              <w:rPr>
                <w:rFonts w:ascii="宋体" w:hAnsi="宋体" w:hint="eastAsia"/>
              </w:rPr>
              <w:t>月</w:t>
            </w:r>
            <w:r>
              <w:rPr>
                <w:rFonts w:ascii="宋体" w:hAnsi="宋体"/>
              </w:rPr>
              <w:t>14</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3.05%</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2.76</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2.76</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广发银行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保本型银行理财产品</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5,000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01</w:t>
            </w:r>
            <w:r>
              <w:rPr>
                <w:rFonts w:ascii="宋体" w:hAnsi="宋体" w:hint="eastAsia"/>
              </w:rPr>
              <w:t>月</w:t>
            </w:r>
            <w:r>
              <w:rPr>
                <w:rFonts w:ascii="宋体" w:hAnsi="宋体"/>
              </w:rPr>
              <w:t>03</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03</w:t>
            </w:r>
            <w:r>
              <w:rPr>
                <w:rFonts w:ascii="宋体" w:hAnsi="宋体" w:hint="eastAsia"/>
              </w:rPr>
              <w:t>月</w:t>
            </w:r>
            <w:r>
              <w:rPr>
                <w:rFonts w:ascii="宋体" w:hAnsi="宋体"/>
              </w:rPr>
              <w:t>05</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4.55%</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38.02</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38.02</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兴业银行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保本型银行理财产品</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4,000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01</w:t>
            </w:r>
            <w:r>
              <w:rPr>
                <w:rFonts w:ascii="宋体" w:hAnsi="宋体" w:hint="eastAsia"/>
              </w:rPr>
              <w:t>月</w:t>
            </w:r>
            <w:r>
              <w:rPr>
                <w:rFonts w:ascii="宋体" w:hAnsi="宋体"/>
              </w:rPr>
              <w:t>04</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04</w:t>
            </w:r>
            <w:r>
              <w:rPr>
                <w:rFonts w:ascii="宋体" w:hAnsi="宋体" w:hint="eastAsia"/>
              </w:rPr>
              <w:t>月</w:t>
            </w:r>
            <w:r>
              <w:rPr>
                <w:rFonts w:ascii="宋体" w:hAnsi="宋体"/>
              </w:rPr>
              <w:t>04</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4.80%</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47.34</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47.34</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平安银行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保本型银行理财产品</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10,000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闲置募集资金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01</w:t>
            </w:r>
            <w:r>
              <w:rPr>
                <w:rFonts w:ascii="宋体" w:hAnsi="宋体" w:hint="eastAsia"/>
              </w:rPr>
              <w:t>月</w:t>
            </w:r>
            <w:r>
              <w:rPr>
                <w:rFonts w:ascii="宋体" w:hAnsi="宋体"/>
              </w:rPr>
              <w:t>05</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04</w:t>
            </w:r>
            <w:r>
              <w:rPr>
                <w:rFonts w:ascii="宋体" w:hAnsi="宋体" w:hint="eastAsia"/>
              </w:rPr>
              <w:t>月</w:t>
            </w:r>
            <w:r>
              <w:rPr>
                <w:rFonts w:ascii="宋体" w:hAnsi="宋体"/>
              </w:rPr>
              <w:t>09</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5.20%</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133.92</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133.92</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广发银行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保本型银行理财产品</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3,000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02</w:t>
            </w:r>
            <w:r>
              <w:rPr>
                <w:rFonts w:ascii="宋体" w:hAnsi="宋体" w:hint="eastAsia"/>
              </w:rPr>
              <w:t>月</w:t>
            </w:r>
            <w:r>
              <w:rPr>
                <w:rFonts w:ascii="宋体" w:hAnsi="宋体"/>
              </w:rPr>
              <w:t>27</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05</w:t>
            </w:r>
            <w:r>
              <w:rPr>
                <w:rFonts w:ascii="宋体" w:hAnsi="宋体" w:hint="eastAsia"/>
              </w:rPr>
              <w:t>月</w:t>
            </w:r>
            <w:r>
              <w:rPr>
                <w:rFonts w:ascii="宋体" w:hAnsi="宋体"/>
              </w:rPr>
              <w:t>28</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4.70%</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34.77</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34.77</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中信银行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保本型银行理财产品</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4,300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03</w:t>
            </w:r>
            <w:r>
              <w:rPr>
                <w:rFonts w:ascii="宋体" w:hAnsi="宋体" w:hint="eastAsia"/>
              </w:rPr>
              <w:t>月</w:t>
            </w:r>
            <w:r>
              <w:rPr>
                <w:rFonts w:ascii="宋体" w:hAnsi="宋体"/>
              </w:rPr>
              <w:t>13</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03</w:t>
            </w:r>
            <w:r>
              <w:rPr>
                <w:rFonts w:ascii="宋体" w:hAnsi="宋体" w:hint="eastAsia"/>
              </w:rPr>
              <w:t>月</w:t>
            </w:r>
            <w:r>
              <w:rPr>
                <w:rFonts w:ascii="宋体" w:hAnsi="宋体"/>
              </w:rPr>
              <w:t>31</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3.05%</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6.47</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6.47</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广发银行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保本型银行理财产品</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2,500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03</w:t>
            </w:r>
            <w:r>
              <w:rPr>
                <w:rFonts w:ascii="宋体" w:hAnsi="宋体" w:hint="eastAsia"/>
              </w:rPr>
              <w:t>月</w:t>
            </w:r>
            <w:r>
              <w:rPr>
                <w:rFonts w:ascii="宋体" w:hAnsi="宋体"/>
              </w:rPr>
              <w:t>14</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06</w:t>
            </w:r>
            <w:r>
              <w:rPr>
                <w:rFonts w:ascii="宋体" w:hAnsi="宋体" w:hint="eastAsia"/>
              </w:rPr>
              <w:t>月</w:t>
            </w:r>
            <w:r>
              <w:rPr>
                <w:rFonts w:ascii="宋体" w:hAnsi="宋体"/>
              </w:rPr>
              <w:t>12</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4.70%</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28.97</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28.97</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农商银行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保本型银行理财产品</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20,000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闲置募集资金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04</w:t>
            </w:r>
            <w:r>
              <w:rPr>
                <w:rFonts w:ascii="宋体" w:hAnsi="宋体" w:hint="eastAsia"/>
              </w:rPr>
              <w:t>月</w:t>
            </w:r>
            <w:r>
              <w:rPr>
                <w:rFonts w:ascii="宋体" w:hAnsi="宋体"/>
              </w:rPr>
              <w:t>09</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07</w:t>
            </w:r>
            <w:r>
              <w:rPr>
                <w:rFonts w:ascii="宋体" w:hAnsi="宋体" w:hint="eastAsia"/>
              </w:rPr>
              <w:t>月</w:t>
            </w:r>
            <w:r>
              <w:rPr>
                <w:rFonts w:ascii="宋体" w:hAnsi="宋体"/>
              </w:rPr>
              <w:t>11</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5.30%</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270.08</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270.08</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农商银行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保本型银行理财产品</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20,000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04</w:t>
            </w:r>
            <w:r>
              <w:rPr>
                <w:rFonts w:ascii="宋体" w:hAnsi="宋体" w:hint="eastAsia"/>
              </w:rPr>
              <w:t>月</w:t>
            </w:r>
            <w:r>
              <w:rPr>
                <w:rFonts w:ascii="宋体" w:hAnsi="宋体"/>
              </w:rPr>
              <w:t>09</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07</w:t>
            </w:r>
            <w:r>
              <w:rPr>
                <w:rFonts w:ascii="宋体" w:hAnsi="宋体" w:hint="eastAsia"/>
              </w:rPr>
              <w:t>月</w:t>
            </w:r>
            <w:r>
              <w:rPr>
                <w:rFonts w:ascii="宋体" w:hAnsi="宋体"/>
              </w:rPr>
              <w:t>11</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5.30%</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270.08</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270.08</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平安银行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结构性存款</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13,000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闲置募集资金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04</w:t>
            </w:r>
            <w:r>
              <w:rPr>
                <w:rFonts w:ascii="宋体" w:hAnsi="宋体" w:hint="eastAsia"/>
              </w:rPr>
              <w:t>月</w:t>
            </w:r>
            <w:r>
              <w:rPr>
                <w:rFonts w:ascii="宋体" w:hAnsi="宋体"/>
              </w:rPr>
              <w:t>13</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07</w:t>
            </w:r>
            <w:r>
              <w:rPr>
                <w:rFonts w:ascii="宋体" w:hAnsi="宋体" w:hint="eastAsia"/>
              </w:rPr>
              <w:t>月</w:t>
            </w:r>
            <w:r>
              <w:rPr>
                <w:rFonts w:ascii="宋体" w:hAnsi="宋体"/>
              </w:rPr>
              <w:t>13</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4.92%</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159.46</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159.46</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中信银行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结构性存款</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5,000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04</w:t>
            </w:r>
            <w:r>
              <w:rPr>
                <w:rFonts w:ascii="宋体" w:hAnsi="宋体" w:hint="eastAsia"/>
              </w:rPr>
              <w:t>月</w:t>
            </w:r>
            <w:r>
              <w:rPr>
                <w:rFonts w:ascii="宋体" w:hAnsi="宋体"/>
              </w:rPr>
              <w:t>13</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07</w:t>
            </w:r>
            <w:r>
              <w:rPr>
                <w:rFonts w:ascii="宋体" w:hAnsi="宋体" w:hint="eastAsia"/>
              </w:rPr>
              <w:t>月</w:t>
            </w:r>
            <w:r>
              <w:rPr>
                <w:rFonts w:ascii="宋体" w:hAnsi="宋体"/>
              </w:rPr>
              <w:t>16</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4.75%</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61.16</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61.16</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兴业银行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保本型银行理财产品</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2,000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04</w:t>
            </w:r>
            <w:r>
              <w:rPr>
                <w:rFonts w:ascii="宋体" w:hAnsi="宋体" w:hint="eastAsia"/>
              </w:rPr>
              <w:t>月</w:t>
            </w:r>
            <w:r>
              <w:rPr>
                <w:rFonts w:ascii="宋体" w:hAnsi="宋体"/>
              </w:rPr>
              <w:t>16</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07</w:t>
            </w:r>
            <w:r>
              <w:rPr>
                <w:rFonts w:ascii="宋体" w:hAnsi="宋体" w:hint="eastAsia"/>
              </w:rPr>
              <w:t>月</w:t>
            </w:r>
            <w:r>
              <w:rPr>
                <w:rFonts w:ascii="宋体" w:hAnsi="宋体"/>
              </w:rPr>
              <w:t>15</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4.70%</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23.18</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23.18</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农商银行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保本型银行理财产品</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4,000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06</w:t>
            </w:r>
            <w:r>
              <w:rPr>
                <w:rFonts w:ascii="宋体" w:hAnsi="宋体" w:hint="eastAsia"/>
              </w:rPr>
              <w:t>月</w:t>
            </w:r>
            <w:r>
              <w:rPr>
                <w:rFonts w:ascii="宋体" w:hAnsi="宋体"/>
              </w:rPr>
              <w:t>06</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09</w:t>
            </w:r>
            <w:r>
              <w:rPr>
                <w:rFonts w:ascii="宋体" w:hAnsi="宋体" w:hint="eastAsia"/>
              </w:rPr>
              <w:t>月</w:t>
            </w:r>
            <w:r>
              <w:rPr>
                <w:rFonts w:ascii="宋体" w:hAnsi="宋体"/>
              </w:rPr>
              <w:t>25</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4.80%</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58.39</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58.39</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渤海银行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结构性存款</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12,000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06</w:t>
            </w:r>
            <w:r>
              <w:rPr>
                <w:rFonts w:ascii="宋体" w:hAnsi="宋体" w:hint="eastAsia"/>
              </w:rPr>
              <w:t>月</w:t>
            </w:r>
            <w:r>
              <w:rPr>
                <w:rFonts w:ascii="宋体" w:hAnsi="宋体"/>
              </w:rPr>
              <w:t>11</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07</w:t>
            </w:r>
            <w:r>
              <w:rPr>
                <w:rFonts w:ascii="宋体" w:hAnsi="宋体" w:hint="eastAsia"/>
              </w:rPr>
              <w:t>月</w:t>
            </w:r>
            <w:r>
              <w:rPr>
                <w:rFonts w:ascii="宋体" w:hAnsi="宋体"/>
              </w:rPr>
              <w:t>13</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4.70%</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49.45</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49.45</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兴业银行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保本型银行理财产品</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5,000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05</w:t>
            </w:r>
            <w:r>
              <w:rPr>
                <w:rFonts w:ascii="宋体" w:hAnsi="宋体" w:hint="eastAsia"/>
              </w:rPr>
              <w:t>月</w:t>
            </w:r>
            <w:r>
              <w:rPr>
                <w:rFonts w:ascii="宋体" w:hAnsi="宋体"/>
              </w:rPr>
              <w:t>22</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06</w:t>
            </w:r>
            <w:r>
              <w:rPr>
                <w:rFonts w:ascii="宋体" w:hAnsi="宋体" w:hint="eastAsia"/>
              </w:rPr>
              <w:t>月</w:t>
            </w:r>
            <w:r>
              <w:rPr>
                <w:rFonts w:ascii="宋体" w:hAnsi="宋体"/>
              </w:rPr>
              <w:t>22</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4.55%</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19.32</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19.32</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兴业银行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结构性存款</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6,000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05</w:t>
            </w:r>
            <w:r>
              <w:rPr>
                <w:rFonts w:ascii="宋体" w:hAnsi="宋体" w:hint="eastAsia"/>
              </w:rPr>
              <w:t>月</w:t>
            </w:r>
            <w:r>
              <w:rPr>
                <w:rFonts w:ascii="宋体" w:hAnsi="宋体"/>
              </w:rPr>
              <w:t>21</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07</w:t>
            </w:r>
            <w:r>
              <w:rPr>
                <w:rFonts w:ascii="宋体" w:hAnsi="宋体" w:hint="eastAsia"/>
              </w:rPr>
              <w:t>月</w:t>
            </w:r>
            <w:r>
              <w:rPr>
                <w:rFonts w:ascii="宋体" w:hAnsi="宋体"/>
              </w:rPr>
              <w:t>20</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4.55%</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44.88</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44.88</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兴业银行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结构性存款</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1,500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06</w:t>
            </w:r>
            <w:r>
              <w:rPr>
                <w:rFonts w:ascii="宋体" w:hAnsi="宋体" w:hint="eastAsia"/>
              </w:rPr>
              <w:t>月</w:t>
            </w:r>
            <w:r>
              <w:rPr>
                <w:rFonts w:ascii="宋体" w:hAnsi="宋体"/>
              </w:rPr>
              <w:t>28</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07</w:t>
            </w:r>
            <w:r>
              <w:rPr>
                <w:rFonts w:ascii="宋体" w:hAnsi="宋体" w:hint="eastAsia"/>
              </w:rPr>
              <w:t>月</w:t>
            </w:r>
            <w:r>
              <w:rPr>
                <w:rFonts w:ascii="宋体" w:hAnsi="宋体"/>
              </w:rPr>
              <w:t>05</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4.45%</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1.28</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1.28</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兴业银行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结构性存款</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2,300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06</w:t>
            </w:r>
            <w:r>
              <w:rPr>
                <w:rFonts w:ascii="宋体" w:hAnsi="宋体" w:hint="eastAsia"/>
              </w:rPr>
              <w:t>月</w:t>
            </w:r>
            <w:r>
              <w:rPr>
                <w:rFonts w:ascii="宋体" w:hAnsi="宋体"/>
              </w:rPr>
              <w:t>28</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07</w:t>
            </w:r>
            <w:r>
              <w:rPr>
                <w:rFonts w:ascii="宋体" w:hAnsi="宋体" w:hint="eastAsia"/>
              </w:rPr>
              <w:t>月</w:t>
            </w:r>
            <w:r>
              <w:rPr>
                <w:rFonts w:ascii="宋体" w:hAnsi="宋体"/>
              </w:rPr>
              <w:t>12</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4.45%</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3.93</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3.93</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兴业银行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结构性存款</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5,000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06</w:t>
            </w:r>
            <w:r>
              <w:rPr>
                <w:rFonts w:ascii="宋体" w:hAnsi="宋体" w:hint="eastAsia"/>
              </w:rPr>
              <w:t>月</w:t>
            </w:r>
            <w:r>
              <w:rPr>
                <w:rFonts w:ascii="宋体" w:hAnsi="宋体"/>
              </w:rPr>
              <w:t>28</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07</w:t>
            </w:r>
            <w:r>
              <w:rPr>
                <w:rFonts w:ascii="宋体" w:hAnsi="宋体" w:hint="eastAsia"/>
              </w:rPr>
              <w:t>月</w:t>
            </w:r>
            <w:r>
              <w:rPr>
                <w:rFonts w:ascii="宋体" w:hAnsi="宋体"/>
              </w:rPr>
              <w:t>30</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4.45%</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19.51</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19.51</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平安银行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结构性存款</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18,000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闲置募集资金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07</w:t>
            </w:r>
            <w:r>
              <w:rPr>
                <w:rFonts w:ascii="宋体" w:hAnsi="宋体" w:hint="eastAsia"/>
              </w:rPr>
              <w:t>月</w:t>
            </w:r>
            <w:r>
              <w:rPr>
                <w:rFonts w:ascii="宋体" w:hAnsi="宋体"/>
              </w:rPr>
              <w:t>13</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10</w:t>
            </w:r>
            <w:r>
              <w:rPr>
                <w:rFonts w:ascii="宋体" w:hAnsi="宋体" w:hint="eastAsia"/>
              </w:rPr>
              <w:t>月</w:t>
            </w:r>
            <w:r>
              <w:rPr>
                <w:rFonts w:ascii="宋体" w:hAnsi="宋体"/>
              </w:rPr>
              <w:t>12</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4.76%</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213.61</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0</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平安银行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结构性存款</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20,000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07</w:t>
            </w:r>
            <w:r>
              <w:rPr>
                <w:rFonts w:ascii="宋体" w:hAnsi="宋体" w:hint="eastAsia"/>
              </w:rPr>
              <w:t>月</w:t>
            </w:r>
            <w:r>
              <w:rPr>
                <w:rFonts w:ascii="宋体" w:hAnsi="宋体"/>
              </w:rPr>
              <w:t>12</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10</w:t>
            </w:r>
            <w:r>
              <w:rPr>
                <w:rFonts w:ascii="宋体" w:hAnsi="宋体" w:hint="eastAsia"/>
              </w:rPr>
              <w:t>月</w:t>
            </w:r>
            <w:r>
              <w:rPr>
                <w:rFonts w:ascii="宋体" w:hAnsi="宋体"/>
              </w:rPr>
              <w:t>12</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4.76%</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237.35</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0</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兴业银行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结构性存款</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2,000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07</w:t>
            </w:r>
            <w:r>
              <w:rPr>
                <w:rFonts w:ascii="宋体" w:hAnsi="宋体" w:hint="eastAsia"/>
              </w:rPr>
              <w:t>月</w:t>
            </w:r>
            <w:r>
              <w:rPr>
                <w:rFonts w:ascii="宋体" w:hAnsi="宋体"/>
              </w:rPr>
              <w:t>17</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07</w:t>
            </w:r>
            <w:r>
              <w:rPr>
                <w:rFonts w:ascii="宋体" w:hAnsi="宋体" w:hint="eastAsia"/>
              </w:rPr>
              <w:t>月</w:t>
            </w:r>
            <w:r>
              <w:rPr>
                <w:rFonts w:ascii="宋体" w:hAnsi="宋体"/>
              </w:rPr>
              <w:t>31</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3.95%</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3.03</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3.03</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兴业银行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结构性存款</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4,000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07</w:t>
            </w:r>
            <w:r>
              <w:rPr>
                <w:rFonts w:ascii="宋体" w:hAnsi="宋体" w:hint="eastAsia"/>
              </w:rPr>
              <w:t>月</w:t>
            </w:r>
            <w:r>
              <w:rPr>
                <w:rFonts w:ascii="宋体" w:hAnsi="宋体"/>
              </w:rPr>
              <w:t>27</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07</w:t>
            </w:r>
            <w:r>
              <w:rPr>
                <w:rFonts w:ascii="宋体" w:hAnsi="宋体" w:hint="eastAsia"/>
              </w:rPr>
              <w:t>月</w:t>
            </w:r>
            <w:r>
              <w:rPr>
                <w:rFonts w:ascii="宋体" w:hAnsi="宋体"/>
              </w:rPr>
              <w:t>31</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3.95%</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13.42</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13.42</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兴业银行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结构性存款</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4,500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08</w:t>
            </w:r>
            <w:r>
              <w:rPr>
                <w:rFonts w:ascii="宋体" w:hAnsi="宋体" w:hint="eastAsia"/>
              </w:rPr>
              <w:t>月</w:t>
            </w:r>
            <w:r>
              <w:rPr>
                <w:rFonts w:ascii="宋体" w:hAnsi="宋体"/>
              </w:rPr>
              <w:t>03</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08</w:t>
            </w:r>
            <w:r>
              <w:rPr>
                <w:rFonts w:ascii="宋体" w:hAnsi="宋体" w:hint="eastAsia"/>
              </w:rPr>
              <w:t>月</w:t>
            </w:r>
            <w:r>
              <w:rPr>
                <w:rFonts w:ascii="宋体" w:hAnsi="宋体"/>
              </w:rPr>
              <w:t>17</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3.65%</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6.3</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6.30</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兴业银行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结构性存款</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4,000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08</w:t>
            </w:r>
            <w:r>
              <w:rPr>
                <w:rFonts w:ascii="宋体" w:hAnsi="宋体" w:hint="eastAsia"/>
              </w:rPr>
              <w:t>月</w:t>
            </w:r>
            <w:r>
              <w:rPr>
                <w:rFonts w:ascii="宋体" w:hAnsi="宋体"/>
              </w:rPr>
              <w:t>21</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09</w:t>
            </w:r>
            <w:r>
              <w:rPr>
                <w:rFonts w:ascii="宋体" w:hAnsi="宋体" w:hint="eastAsia"/>
              </w:rPr>
              <w:t>月</w:t>
            </w:r>
            <w:r>
              <w:rPr>
                <w:rFonts w:ascii="宋体" w:hAnsi="宋体"/>
              </w:rPr>
              <w:t>21</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3.56%</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12.09</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12.09</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兴业银行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结构性存款</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2,000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08</w:t>
            </w:r>
            <w:r>
              <w:rPr>
                <w:rFonts w:ascii="宋体" w:hAnsi="宋体" w:hint="eastAsia"/>
              </w:rPr>
              <w:t>月</w:t>
            </w:r>
            <w:r>
              <w:rPr>
                <w:rFonts w:ascii="宋体" w:hAnsi="宋体"/>
              </w:rPr>
              <w:t>31</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09</w:t>
            </w:r>
            <w:r>
              <w:rPr>
                <w:rFonts w:ascii="宋体" w:hAnsi="宋体" w:hint="eastAsia"/>
              </w:rPr>
              <w:t>月</w:t>
            </w:r>
            <w:r>
              <w:rPr>
                <w:rFonts w:ascii="宋体" w:hAnsi="宋体"/>
              </w:rPr>
              <w:t>14</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3.21%</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2.46</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2.46</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兴业银行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结构性存款</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2,000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08</w:t>
            </w:r>
            <w:r>
              <w:rPr>
                <w:rFonts w:ascii="宋体" w:hAnsi="宋体" w:hint="eastAsia"/>
              </w:rPr>
              <w:t>月</w:t>
            </w:r>
            <w:r>
              <w:rPr>
                <w:rFonts w:ascii="宋体" w:hAnsi="宋体"/>
              </w:rPr>
              <w:t>31</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09</w:t>
            </w:r>
            <w:r>
              <w:rPr>
                <w:rFonts w:ascii="宋体" w:hAnsi="宋体" w:hint="eastAsia"/>
              </w:rPr>
              <w:t>月</w:t>
            </w:r>
            <w:r>
              <w:rPr>
                <w:rFonts w:ascii="宋体" w:hAnsi="宋体"/>
              </w:rPr>
              <w:t>07</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3.08%</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1.18</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1.18</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兴业银行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结构性存款</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4,000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09</w:t>
            </w:r>
            <w:r>
              <w:rPr>
                <w:rFonts w:ascii="宋体" w:hAnsi="宋体" w:hint="eastAsia"/>
              </w:rPr>
              <w:t>月</w:t>
            </w:r>
            <w:r>
              <w:rPr>
                <w:rFonts w:ascii="宋体" w:hAnsi="宋体"/>
              </w:rPr>
              <w:t>29</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10</w:t>
            </w:r>
            <w:r>
              <w:rPr>
                <w:rFonts w:ascii="宋体" w:hAnsi="宋体" w:hint="eastAsia"/>
              </w:rPr>
              <w:t>月</w:t>
            </w:r>
            <w:r>
              <w:rPr>
                <w:rFonts w:ascii="宋体" w:hAnsi="宋体"/>
              </w:rPr>
              <w:t>08</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3.08%</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3.04</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0</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广发银行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结构性存款</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3,600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07</w:t>
            </w:r>
            <w:r>
              <w:rPr>
                <w:rFonts w:ascii="宋体" w:hAnsi="宋体" w:hint="eastAsia"/>
              </w:rPr>
              <w:t>月</w:t>
            </w:r>
            <w:r>
              <w:rPr>
                <w:rFonts w:ascii="宋体" w:hAnsi="宋体"/>
              </w:rPr>
              <w:t>04</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10</w:t>
            </w:r>
            <w:r>
              <w:rPr>
                <w:rFonts w:ascii="宋体" w:hAnsi="宋体" w:hint="eastAsia"/>
              </w:rPr>
              <w:t>月</w:t>
            </w:r>
            <w:r>
              <w:rPr>
                <w:rFonts w:ascii="宋体" w:hAnsi="宋体"/>
              </w:rPr>
              <w:t>09</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4.85%</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46.4</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0</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广发银行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结构性存款</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2,000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07</w:t>
            </w:r>
            <w:r>
              <w:rPr>
                <w:rFonts w:ascii="宋体" w:hAnsi="宋体" w:hint="eastAsia"/>
              </w:rPr>
              <w:t>月</w:t>
            </w:r>
            <w:r>
              <w:rPr>
                <w:rFonts w:ascii="宋体" w:hAnsi="宋体"/>
              </w:rPr>
              <w:t>18</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10</w:t>
            </w:r>
            <w:r>
              <w:rPr>
                <w:rFonts w:ascii="宋体" w:hAnsi="宋体" w:hint="eastAsia"/>
              </w:rPr>
              <w:t>月</w:t>
            </w:r>
            <w:r>
              <w:rPr>
                <w:rFonts w:ascii="宋体" w:hAnsi="宋体"/>
              </w:rPr>
              <w:t>16</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4.65%</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22.93</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0</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中信银行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结构性存款</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2,000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07</w:t>
            </w:r>
            <w:r>
              <w:rPr>
                <w:rFonts w:ascii="宋体" w:hAnsi="宋体" w:hint="eastAsia"/>
              </w:rPr>
              <w:t>月</w:t>
            </w:r>
            <w:r>
              <w:rPr>
                <w:rFonts w:ascii="宋体" w:hAnsi="宋体"/>
              </w:rPr>
              <w:t>20</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10</w:t>
            </w:r>
            <w:r>
              <w:rPr>
                <w:rFonts w:ascii="宋体" w:hAnsi="宋体" w:hint="eastAsia"/>
              </w:rPr>
              <w:t>月</w:t>
            </w:r>
            <w:r>
              <w:rPr>
                <w:rFonts w:ascii="宋体" w:hAnsi="宋体"/>
              </w:rPr>
              <w:t>20</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4.65%</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23.44</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0</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中信银行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结构性存款</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2,000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09</w:t>
            </w:r>
            <w:r>
              <w:rPr>
                <w:rFonts w:ascii="宋体" w:hAnsi="宋体" w:hint="eastAsia"/>
              </w:rPr>
              <w:t>月</w:t>
            </w:r>
            <w:r>
              <w:rPr>
                <w:rFonts w:ascii="宋体" w:hAnsi="宋体"/>
              </w:rPr>
              <w:t>10</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12</w:t>
            </w:r>
            <w:r>
              <w:rPr>
                <w:rFonts w:ascii="宋体" w:hAnsi="宋体" w:hint="eastAsia"/>
              </w:rPr>
              <w:t>月</w:t>
            </w:r>
            <w:r>
              <w:rPr>
                <w:rFonts w:ascii="宋体" w:hAnsi="宋体"/>
              </w:rPr>
              <w:t>10</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4.30%</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21.44</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0</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中信银行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保本型理财</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1,500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09</w:t>
            </w:r>
            <w:r>
              <w:rPr>
                <w:rFonts w:ascii="宋体" w:hAnsi="宋体" w:hint="eastAsia"/>
              </w:rPr>
              <w:t>月</w:t>
            </w:r>
            <w:r>
              <w:rPr>
                <w:rFonts w:ascii="宋体" w:hAnsi="宋体"/>
              </w:rPr>
              <w:t>10</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10</w:t>
            </w:r>
            <w:r>
              <w:rPr>
                <w:rFonts w:ascii="宋体" w:hAnsi="宋体" w:hint="eastAsia"/>
              </w:rPr>
              <w:t>月</w:t>
            </w:r>
            <w:r>
              <w:rPr>
                <w:rFonts w:ascii="宋体" w:hAnsi="宋体"/>
              </w:rPr>
              <w:t>10</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2.20%</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2.71</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0</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工商银行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结构性存款</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550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09</w:t>
            </w:r>
            <w:r>
              <w:rPr>
                <w:rFonts w:ascii="宋体" w:hAnsi="宋体" w:hint="eastAsia"/>
              </w:rPr>
              <w:t>月</w:t>
            </w:r>
            <w:r>
              <w:rPr>
                <w:rFonts w:ascii="宋体" w:hAnsi="宋体"/>
              </w:rPr>
              <w:t>10</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10</w:t>
            </w:r>
            <w:r>
              <w:rPr>
                <w:rFonts w:ascii="宋体" w:hAnsi="宋体" w:hint="eastAsia"/>
              </w:rPr>
              <w:t>月</w:t>
            </w:r>
            <w:r>
              <w:rPr>
                <w:rFonts w:ascii="宋体" w:hAnsi="宋体"/>
              </w:rPr>
              <w:t>10</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3.70%</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7.42</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0</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光大银行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结构性存款</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12,000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闲置募集资金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08</w:t>
            </w:r>
            <w:r>
              <w:rPr>
                <w:rFonts w:ascii="宋体" w:hAnsi="宋体" w:hint="eastAsia"/>
              </w:rPr>
              <w:t>月</w:t>
            </w:r>
            <w:r>
              <w:rPr>
                <w:rFonts w:ascii="宋体" w:hAnsi="宋体"/>
              </w:rPr>
              <w:t>01</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11</w:t>
            </w:r>
            <w:r>
              <w:rPr>
                <w:rFonts w:ascii="宋体" w:hAnsi="宋体" w:hint="eastAsia"/>
              </w:rPr>
              <w:t>月</w:t>
            </w:r>
            <w:r>
              <w:rPr>
                <w:rFonts w:ascii="宋体" w:hAnsi="宋体"/>
              </w:rPr>
              <w:t>01</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4.85%</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146.7</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0</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工商银行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保本型理财</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500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01</w:t>
            </w:r>
            <w:r>
              <w:rPr>
                <w:rFonts w:ascii="宋体" w:hAnsi="宋体" w:hint="eastAsia"/>
              </w:rPr>
              <w:t>月</w:t>
            </w:r>
            <w:r>
              <w:rPr>
                <w:rFonts w:ascii="宋体" w:hAnsi="宋体"/>
              </w:rPr>
              <w:t>12</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02</w:t>
            </w:r>
            <w:r>
              <w:rPr>
                <w:rFonts w:ascii="宋体" w:hAnsi="宋体" w:hint="eastAsia"/>
              </w:rPr>
              <w:t>月</w:t>
            </w:r>
            <w:r>
              <w:rPr>
                <w:rFonts w:ascii="宋体" w:hAnsi="宋体"/>
              </w:rPr>
              <w:t>23</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3.90%</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0</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1.84</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1.84</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hint="eastAsia"/>
              </w:rPr>
              <w:t>注</w:t>
            </w: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兴业银行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保本型理财</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1,000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01</w:t>
            </w:r>
            <w:r>
              <w:rPr>
                <w:rFonts w:ascii="宋体" w:hAnsi="宋体" w:hint="eastAsia"/>
              </w:rPr>
              <w:t>月</w:t>
            </w:r>
            <w:r>
              <w:rPr>
                <w:rFonts w:ascii="宋体" w:hAnsi="宋体"/>
              </w:rPr>
              <w:t>10</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02</w:t>
            </w:r>
            <w:r>
              <w:rPr>
                <w:rFonts w:ascii="宋体" w:hAnsi="宋体" w:hint="eastAsia"/>
              </w:rPr>
              <w:t>月</w:t>
            </w:r>
            <w:r>
              <w:rPr>
                <w:rFonts w:ascii="宋体" w:hAnsi="宋体"/>
              </w:rPr>
              <w:t>12</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4.50%</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0</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4.07</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4.07</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hint="eastAsia"/>
              </w:rPr>
              <w:t>注</w:t>
            </w: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兴业银行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保本型理财</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500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03</w:t>
            </w:r>
            <w:r>
              <w:rPr>
                <w:rFonts w:ascii="宋体" w:hAnsi="宋体" w:hint="eastAsia"/>
              </w:rPr>
              <w:t>月</w:t>
            </w:r>
            <w:r>
              <w:rPr>
                <w:rFonts w:ascii="宋体" w:hAnsi="宋体"/>
              </w:rPr>
              <w:t>15</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04</w:t>
            </w:r>
            <w:r>
              <w:rPr>
                <w:rFonts w:ascii="宋体" w:hAnsi="宋体" w:hint="eastAsia"/>
              </w:rPr>
              <w:t>月</w:t>
            </w:r>
            <w:r>
              <w:rPr>
                <w:rFonts w:ascii="宋体" w:hAnsi="宋体"/>
              </w:rPr>
              <w:t>16</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4.70%</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0</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2.06</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2.06</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hint="eastAsia"/>
              </w:rPr>
              <w:t>注</w:t>
            </w: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兴业银行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保本型理财</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500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04</w:t>
            </w:r>
            <w:r>
              <w:rPr>
                <w:rFonts w:ascii="宋体" w:hAnsi="宋体" w:hint="eastAsia"/>
              </w:rPr>
              <w:t>月</w:t>
            </w:r>
            <w:r>
              <w:rPr>
                <w:rFonts w:ascii="宋体" w:hAnsi="宋体"/>
              </w:rPr>
              <w:t>19</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05</w:t>
            </w:r>
            <w:r>
              <w:rPr>
                <w:rFonts w:ascii="宋体" w:hAnsi="宋体" w:hint="eastAsia"/>
              </w:rPr>
              <w:t>月</w:t>
            </w:r>
            <w:r>
              <w:rPr>
                <w:rFonts w:ascii="宋体" w:hAnsi="宋体"/>
              </w:rPr>
              <w:t>21</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4.20%</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0</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1.84</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1.84</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hint="eastAsia"/>
              </w:rPr>
              <w:t>注</w:t>
            </w: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兴业银行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保本型理财</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500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04</w:t>
            </w:r>
            <w:r>
              <w:rPr>
                <w:rFonts w:ascii="宋体" w:hAnsi="宋体" w:hint="eastAsia"/>
              </w:rPr>
              <w:t>月</w:t>
            </w:r>
            <w:r>
              <w:rPr>
                <w:rFonts w:ascii="宋体" w:hAnsi="宋体"/>
              </w:rPr>
              <w:t>19</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05</w:t>
            </w:r>
            <w:r>
              <w:rPr>
                <w:rFonts w:ascii="宋体" w:hAnsi="宋体" w:hint="eastAsia"/>
              </w:rPr>
              <w:t>月</w:t>
            </w:r>
            <w:r>
              <w:rPr>
                <w:rFonts w:ascii="宋体" w:hAnsi="宋体"/>
              </w:rPr>
              <w:t>11</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3.00%</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0</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0.9</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0.90</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hint="eastAsia"/>
              </w:rPr>
              <w:t>注</w:t>
            </w: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广发银行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保本型理财</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1,000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01</w:t>
            </w:r>
            <w:r>
              <w:rPr>
                <w:rFonts w:ascii="宋体" w:hAnsi="宋体" w:hint="eastAsia"/>
              </w:rPr>
              <w:t>月</w:t>
            </w:r>
            <w:r>
              <w:rPr>
                <w:rFonts w:ascii="宋体" w:hAnsi="宋体"/>
              </w:rPr>
              <w:t>05</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02</w:t>
            </w:r>
            <w:r>
              <w:rPr>
                <w:rFonts w:ascii="宋体" w:hAnsi="宋体" w:hint="eastAsia"/>
              </w:rPr>
              <w:t>月</w:t>
            </w:r>
            <w:r>
              <w:rPr>
                <w:rFonts w:ascii="宋体" w:hAnsi="宋体"/>
              </w:rPr>
              <w:t>05</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4.25%</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0</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3.61</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3.61</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hint="eastAsia"/>
              </w:rPr>
              <w:t>注</w:t>
            </w: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兴业银行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保本型理财</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80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01</w:t>
            </w:r>
            <w:r>
              <w:rPr>
                <w:rFonts w:ascii="宋体" w:hAnsi="宋体" w:hint="eastAsia"/>
              </w:rPr>
              <w:t>月</w:t>
            </w:r>
            <w:r>
              <w:rPr>
                <w:rFonts w:ascii="宋体" w:hAnsi="宋体"/>
              </w:rPr>
              <w:t>16</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02</w:t>
            </w:r>
            <w:r>
              <w:rPr>
                <w:rFonts w:ascii="宋体" w:hAnsi="宋体" w:hint="eastAsia"/>
              </w:rPr>
              <w:t>月</w:t>
            </w:r>
            <w:r>
              <w:rPr>
                <w:rFonts w:ascii="宋体" w:hAnsi="宋体"/>
              </w:rPr>
              <w:t>22</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4.10%</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0</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0.33</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0.33</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hint="eastAsia"/>
              </w:rPr>
              <w:t>注</w:t>
            </w: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兴业银行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保本型理财</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460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02</w:t>
            </w:r>
            <w:r>
              <w:rPr>
                <w:rFonts w:ascii="宋体" w:hAnsi="宋体" w:hint="eastAsia"/>
              </w:rPr>
              <w:t>月</w:t>
            </w:r>
            <w:r>
              <w:rPr>
                <w:rFonts w:ascii="宋体" w:hAnsi="宋体"/>
              </w:rPr>
              <w:t>05</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05</w:t>
            </w:r>
            <w:r>
              <w:rPr>
                <w:rFonts w:ascii="宋体" w:hAnsi="宋体" w:hint="eastAsia"/>
              </w:rPr>
              <w:t>月</w:t>
            </w:r>
            <w:r>
              <w:rPr>
                <w:rFonts w:ascii="宋体" w:hAnsi="宋体"/>
              </w:rPr>
              <w:t>08</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4.70%</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0</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5.27</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rPr>
            </w:pPr>
            <w:r>
              <w:rPr>
                <w:rFonts w:ascii="宋体" w:hAnsi="宋体"/>
              </w:rPr>
              <w:t>5.27</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hint="eastAsia"/>
              </w:rPr>
              <w:t>注</w:t>
            </w:r>
          </w:p>
        </w:tc>
      </w:tr>
      <w:tr w:rsidR="006D5885">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兴业银行</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银行</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保本型理财</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500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闲置自有资金</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07</w:t>
            </w:r>
            <w:r>
              <w:rPr>
                <w:rFonts w:ascii="宋体" w:hAnsi="宋体" w:hint="eastAsia"/>
              </w:rPr>
              <w:t>月</w:t>
            </w:r>
            <w:r>
              <w:rPr>
                <w:rFonts w:ascii="宋体" w:hAnsi="宋体"/>
              </w:rPr>
              <w:t>03</w:t>
            </w:r>
            <w:r>
              <w:rPr>
                <w:rFonts w:ascii="宋体" w:hAnsi="宋体" w:hint="eastAsia"/>
              </w:rPr>
              <w:t>日</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rPr>
              <w:t>2018</w:t>
            </w:r>
            <w:r>
              <w:rPr>
                <w:rFonts w:ascii="宋体" w:hAnsi="宋体" w:hint="eastAsia"/>
              </w:rPr>
              <w:t>年</w:t>
            </w:r>
            <w:r>
              <w:rPr>
                <w:rFonts w:ascii="宋体" w:hAnsi="宋体"/>
              </w:rPr>
              <w:t>10</w:t>
            </w:r>
            <w:r>
              <w:rPr>
                <w:rFonts w:ascii="宋体" w:hAnsi="宋体" w:hint="eastAsia"/>
              </w:rPr>
              <w:t>月</w:t>
            </w:r>
            <w:r>
              <w:rPr>
                <w:rFonts w:ascii="宋体" w:hAnsi="宋体"/>
              </w:rPr>
              <w:t>10</w:t>
            </w:r>
            <w:r>
              <w:rPr>
                <w:rFonts w:ascii="宋体" w:hAnsi="宋体" w:hint="eastAsia"/>
              </w:rPr>
              <w:t>日</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固定收益类产品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保本浮动收益型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2.90%</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3.93</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0</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ascii="宋体" w:hAnsi="宋体" w:hint="eastAsia"/>
              </w:rP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eastAsia="Times New Roman" w:cs="Times New Roman"/>
              </w:rPr>
            </w:pPr>
            <w:r>
              <w:rPr>
                <w:rFonts w:hint="eastAsia"/>
              </w:rPr>
              <w:t>注</w:t>
            </w:r>
          </w:p>
        </w:tc>
      </w:tr>
      <w:tr w:rsidR="006D5885">
        <w:trPr>
          <w:jc w:val="center"/>
        </w:trPr>
        <w:tc>
          <w:tcPr>
            <w:tcW w:w="2279"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rFonts w:eastAsia="Times New Roman" w:cs="Times New Roman"/>
              </w:rPr>
            </w:pPr>
            <w:r>
              <w:rPr>
                <w:rFonts w:ascii="宋体" w:hAnsi="宋体" w:hint="eastAsia"/>
              </w:rPr>
              <w:t>合计</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260,440</w:t>
            </w:r>
          </w:p>
        </w:tc>
        <w:tc>
          <w:tcPr>
            <w:tcW w:w="746"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eastAsia="Times New Roman" w:cs="Times New Roman"/>
              </w:rPr>
            </w:pPr>
            <w:r>
              <w:rPr>
                <w:rFonts w:eastAsia="Times New Roman" w:cs="Times New Roman"/>
              </w:rPr>
              <w:t>--</w:t>
            </w:r>
          </w:p>
        </w:tc>
        <w:tc>
          <w:tcPr>
            <w:tcW w:w="1049"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eastAsia="Times New Roman" w:cs="Times New Roman"/>
              </w:rPr>
            </w:pPr>
            <w:r>
              <w:rPr>
                <w:rFonts w:eastAsia="Times New Roman" w:cs="Times New Roman"/>
              </w:rPr>
              <w:t>--</w:t>
            </w:r>
          </w:p>
        </w:tc>
        <w:tc>
          <w:tcPr>
            <w:tcW w:w="953"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eastAsia="Times New Roman" w:cs="Times New Roman"/>
              </w:rPr>
            </w:pPr>
            <w:r>
              <w:rPr>
                <w:rFonts w:eastAsia="Times New Roman" w:cs="Times New Roman"/>
              </w:rPr>
              <w:t>--</w:t>
            </w:r>
          </w:p>
        </w:tc>
        <w:tc>
          <w:tcPr>
            <w:tcW w:w="925"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eastAsia="Times New Roman" w:cs="Times New Roman"/>
              </w:rPr>
            </w:pPr>
            <w:r>
              <w:rPr>
                <w:rFonts w:eastAsia="Times New Roman" w:cs="Times New Roman"/>
              </w:rPr>
              <w:t>--</w:t>
            </w:r>
          </w:p>
        </w:tc>
        <w:tc>
          <w:tcPr>
            <w:tcW w:w="746"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eastAsia="Times New Roman" w:cs="Times New Roman"/>
              </w:rPr>
            </w:pPr>
            <w:r>
              <w:rPr>
                <w:rFonts w:eastAsia="Times New Roman" w:cs="Times New Roman"/>
              </w:rPr>
              <w:t>--</w:t>
            </w:r>
          </w:p>
        </w:tc>
        <w:tc>
          <w:tcPr>
            <w:tcW w:w="704"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eastAsia="Times New Roman" w:cs="Times New Roman"/>
              </w:rPr>
            </w:pPr>
            <w:r>
              <w:rPr>
                <w:rFonts w:eastAsia="Times New Roman" w:cs="Times New Roman"/>
              </w:rPr>
              <w:t>--</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728.97</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rPr>
            </w:pPr>
            <w:r>
              <w:rPr>
                <w:rFonts w:ascii="宋体" w:hAnsi="宋体"/>
              </w:rPr>
              <w:t>1,893.73</w:t>
            </w:r>
          </w:p>
        </w:tc>
        <w:tc>
          <w:tcPr>
            <w:tcW w:w="810"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eastAsia="Times New Roman" w:cs="Times New Roman"/>
              </w:rPr>
            </w:pPr>
            <w:r>
              <w:rPr>
                <w:rFonts w:eastAsia="Times New Roman" w:cs="Times New Roman"/>
              </w:rPr>
              <w:t>--</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eastAsia="Times New Roman" w:cs="Times New Roman"/>
              </w:rPr>
            </w:pPr>
            <w:r>
              <w:rPr>
                <w:rFonts w:eastAsia="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eastAsia="Times New Roman" w:cs="Times New Roman"/>
              </w:rPr>
            </w:pPr>
            <w:r>
              <w:rPr>
                <w:rFonts w:eastAsia="Times New Roman" w:cs="Times New Roman"/>
              </w:rPr>
              <w:t>--</w:t>
            </w:r>
          </w:p>
        </w:tc>
        <w:tc>
          <w:tcPr>
            <w:tcW w:w="750"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eastAsia="Times New Roman" w:cs="Times New Roman"/>
              </w:rPr>
            </w:pPr>
            <w:r>
              <w:rPr>
                <w:rFonts w:eastAsia="Times New Roman" w:cs="Times New Roman"/>
              </w:rPr>
              <w:t>--</w:t>
            </w:r>
          </w:p>
        </w:tc>
        <w:tc>
          <w:tcPr>
            <w:tcW w:w="795"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eastAsia="Times New Roman" w:cs="Times New Roman"/>
              </w:rPr>
            </w:pPr>
          </w:p>
        </w:tc>
      </w:tr>
    </w:tbl>
    <w:p w:rsidR="006D5885" w:rsidRDefault="006D5885">
      <w:pPr>
        <w:spacing w:before="0" w:after="0" w:line="360" w:lineRule="auto"/>
        <w:rPr>
          <w:rFonts w:cs="Times New Roman"/>
          <w:sz w:val="24"/>
          <w:szCs w:val="24"/>
        </w:rPr>
      </w:pPr>
      <w:r>
        <w:rPr>
          <w:rFonts w:ascii="宋体" w:hAnsi="宋体" w:hint="eastAsia"/>
          <w:sz w:val="24"/>
          <w:szCs w:val="24"/>
        </w:rPr>
        <w:t>注：</w:t>
      </w:r>
      <w:r>
        <w:rPr>
          <w:rFonts w:ascii="宋体" w:hAnsi="宋体"/>
          <w:sz w:val="24"/>
          <w:szCs w:val="24"/>
        </w:rPr>
        <w:t>2018</w:t>
      </w:r>
      <w:r>
        <w:rPr>
          <w:rFonts w:ascii="宋体" w:hAnsi="宋体" w:hint="eastAsia"/>
          <w:sz w:val="24"/>
          <w:szCs w:val="24"/>
        </w:rPr>
        <w:t>年</w:t>
      </w:r>
      <w:r>
        <w:rPr>
          <w:rFonts w:ascii="宋体" w:hAnsi="宋体"/>
          <w:sz w:val="24"/>
          <w:szCs w:val="24"/>
        </w:rPr>
        <w:t>8</w:t>
      </w:r>
      <w:r>
        <w:rPr>
          <w:rFonts w:ascii="宋体" w:hAnsi="宋体" w:hint="eastAsia"/>
          <w:sz w:val="24"/>
          <w:szCs w:val="24"/>
        </w:rPr>
        <w:t>月公司收购了广东名城环境科技股份有限公司，因公司与广东名城环境科技股份有限公司属同一控制人，所以按同一控制下企业合并，对广东名城环境科技股份有限公司的理财数据进行了追溯调整。</w:t>
      </w:r>
    </w:p>
    <w:p w:rsidR="006D5885" w:rsidRDefault="006D5885">
      <w:pPr>
        <w:spacing w:beforeLines="50" w:before="156" w:after="0" w:line="360" w:lineRule="auto"/>
        <w:rPr>
          <w:rFonts w:cs="Times New Roman"/>
          <w:sz w:val="24"/>
          <w:szCs w:val="24"/>
        </w:rPr>
      </w:pPr>
      <w:r>
        <w:rPr>
          <w:rFonts w:ascii="宋体" w:hAnsi="宋体" w:hint="eastAsia"/>
          <w:sz w:val="24"/>
          <w:szCs w:val="24"/>
        </w:rPr>
        <w:t>委托理财出现预期无法收回本金或存在其他可能导致减值的情形</w:t>
      </w:r>
    </w:p>
    <w:p w:rsidR="006D5885" w:rsidRDefault="006D5885">
      <w:pPr>
        <w:spacing w:before="0" w:after="0" w:line="360" w:lineRule="auto"/>
        <w:rPr>
          <w:rFonts w:cs="Times New Roman"/>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适用</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不适用</w:t>
      </w:r>
    </w:p>
    <w:p w:rsidR="006D5885" w:rsidRDefault="006D5885">
      <w:pPr>
        <w:spacing w:before="0" w:after="0" w:line="360" w:lineRule="auto"/>
        <w:rPr>
          <w:rFonts w:cs="Times New Roman"/>
          <w:sz w:val="24"/>
          <w:szCs w:val="24"/>
        </w:rPr>
        <w:sectPr w:rsidR="006D5885">
          <w:pgSz w:w="16838" w:h="11906" w:orient="landscape"/>
          <w:pgMar w:top="1134" w:right="1440" w:bottom="1134" w:left="1440" w:header="851" w:footer="992" w:gutter="0"/>
          <w:cols w:space="720"/>
          <w:docGrid w:type="lines" w:linePitch="312"/>
        </w:sectPr>
      </w:pPr>
    </w:p>
    <w:p w:rsidR="006D5885" w:rsidRDefault="006D5885">
      <w:pPr>
        <w:pStyle w:val="Chapter"/>
        <w:spacing w:before="0" w:after="0" w:line="360" w:lineRule="auto"/>
        <w:outlineLvl w:val="1"/>
        <w:rPr>
          <w:rFonts w:cs="Times New Roman"/>
        </w:rPr>
      </w:pPr>
      <w:r>
        <w:rPr>
          <w:rFonts w:ascii="宋体" w:hAnsi="宋体" w:hint="eastAsia"/>
        </w:rPr>
        <w:t>七、衍生品投资情况</w:t>
      </w:r>
    </w:p>
    <w:p w:rsidR="006D5885" w:rsidRDefault="006D5885">
      <w:pPr>
        <w:spacing w:before="0" w:after="0" w:line="360" w:lineRule="auto"/>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适用</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不适用</w:t>
      </w:r>
      <w:r>
        <w:rPr>
          <w:rFonts w:ascii="宋体" w:hAnsi="宋体"/>
          <w:sz w:val="24"/>
          <w:szCs w:val="24"/>
        </w:rPr>
        <w:t xml:space="preserve"> </w:t>
      </w:r>
    </w:p>
    <w:p w:rsidR="006D5885" w:rsidRDefault="006D5885">
      <w:pPr>
        <w:spacing w:before="0" w:after="0" w:line="360" w:lineRule="auto"/>
        <w:rPr>
          <w:rFonts w:cs="Times New Roman"/>
          <w:sz w:val="24"/>
          <w:szCs w:val="24"/>
        </w:rPr>
      </w:pPr>
      <w:r>
        <w:rPr>
          <w:rFonts w:ascii="宋体" w:hAnsi="宋体" w:hint="eastAsia"/>
          <w:sz w:val="24"/>
          <w:szCs w:val="24"/>
        </w:rPr>
        <w:t>公司报告期不存在衍生品投资。</w:t>
      </w:r>
    </w:p>
    <w:p w:rsidR="006D5885" w:rsidRDefault="006D5885">
      <w:pPr>
        <w:pStyle w:val="Chapter"/>
        <w:spacing w:before="0" w:after="0" w:line="360" w:lineRule="auto"/>
        <w:outlineLvl w:val="1"/>
        <w:rPr>
          <w:rFonts w:cs="Times New Roman"/>
        </w:rPr>
      </w:pPr>
      <w:r>
        <w:rPr>
          <w:rFonts w:ascii="宋体" w:hAnsi="宋体" w:hint="eastAsia"/>
        </w:rPr>
        <w:t>八、报告期内接待调研、沟通、采访等活动登记表</w:t>
      </w:r>
    </w:p>
    <w:p w:rsidR="006D5885" w:rsidRDefault="006D5885">
      <w:pPr>
        <w:spacing w:before="0" w:after="0" w:line="360" w:lineRule="auto"/>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适用</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不适用</w:t>
      </w:r>
      <w:r>
        <w:rPr>
          <w:rFonts w:ascii="宋体" w:hAnsi="宋体"/>
          <w:sz w:val="24"/>
          <w:szCs w:val="24"/>
        </w:rPr>
        <w:t xml:space="preserve"> </w:t>
      </w:r>
    </w:p>
    <w:tbl>
      <w:tblPr>
        <w:tblW w:w="0" w:type="auto"/>
        <w:jc w:val="center"/>
        <w:tblLayout w:type="fixed"/>
        <w:tblLook w:val="0000" w:firstRow="0" w:lastRow="0" w:firstColumn="0" w:lastColumn="0" w:noHBand="0" w:noVBand="0"/>
      </w:tblPr>
      <w:tblGrid>
        <w:gridCol w:w="2349"/>
        <w:gridCol w:w="2006"/>
        <w:gridCol w:w="1669"/>
        <w:gridCol w:w="3545"/>
      </w:tblGrid>
      <w:tr w:rsidR="006D5885">
        <w:trPr>
          <w:jc w:val="center"/>
        </w:trPr>
        <w:tc>
          <w:tcPr>
            <w:tcW w:w="2349"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接待时间</w:t>
            </w:r>
          </w:p>
        </w:tc>
        <w:tc>
          <w:tcPr>
            <w:tcW w:w="2006"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接待方式</w:t>
            </w:r>
          </w:p>
        </w:tc>
        <w:tc>
          <w:tcPr>
            <w:tcW w:w="1669"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接待对象类型</w:t>
            </w:r>
          </w:p>
        </w:tc>
        <w:tc>
          <w:tcPr>
            <w:tcW w:w="3545"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cs="Times New Roman"/>
                <w:sz w:val="21"/>
                <w:szCs w:val="21"/>
              </w:rPr>
            </w:pPr>
            <w:r>
              <w:rPr>
                <w:rFonts w:ascii="宋体" w:hAnsi="宋体" w:hint="eastAsia"/>
                <w:sz w:val="21"/>
                <w:szCs w:val="21"/>
              </w:rPr>
              <w:t>调研的基本情况索引</w:t>
            </w:r>
          </w:p>
        </w:tc>
      </w:tr>
      <w:tr w:rsidR="006D5885">
        <w:trPr>
          <w:jc w:val="center"/>
        </w:trPr>
        <w:tc>
          <w:tcPr>
            <w:tcW w:w="23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sz w:val="21"/>
                <w:szCs w:val="21"/>
              </w:rPr>
              <w:t>2018</w:t>
            </w:r>
            <w:r>
              <w:rPr>
                <w:rFonts w:ascii="宋体" w:hAnsi="宋体" w:hint="eastAsia"/>
                <w:sz w:val="21"/>
                <w:szCs w:val="21"/>
              </w:rPr>
              <w:t>年</w:t>
            </w:r>
            <w:r>
              <w:rPr>
                <w:rFonts w:ascii="宋体" w:hAnsi="宋体"/>
                <w:sz w:val="21"/>
                <w:szCs w:val="21"/>
              </w:rPr>
              <w:t>04</w:t>
            </w:r>
            <w:r>
              <w:rPr>
                <w:rFonts w:ascii="宋体" w:hAnsi="宋体" w:hint="eastAsia"/>
                <w:sz w:val="21"/>
                <w:szCs w:val="21"/>
              </w:rPr>
              <w:t>月</w:t>
            </w:r>
            <w:r>
              <w:rPr>
                <w:rFonts w:ascii="宋体" w:hAnsi="宋体"/>
                <w:sz w:val="21"/>
                <w:szCs w:val="21"/>
              </w:rPr>
              <w:t>26</w:t>
            </w:r>
            <w:r>
              <w:rPr>
                <w:rFonts w:ascii="宋体" w:hAnsi="宋体" w:hint="eastAsia"/>
                <w:sz w:val="21"/>
                <w:szCs w:val="21"/>
              </w:rPr>
              <w:t>日</w:t>
            </w:r>
          </w:p>
        </w:tc>
        <w:tc>
          <w:tcPr>
            <w:tcW w:w="200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实地调研</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机构</w:t>
            </w:r>
          </w:p>
        </w:tc>
        <w:tc>
          <w:tcPr>
            <w:tcW w:w="354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巨潮资讯网（</w:t>
            </w:r>
            <w:r>
              <w:rPr>
                <w:rFonts w:ascii="宋体" w:hAnsi="宋体"/>
                <w:sz w:val="21"/>
                <w:szCs w:val="21"/>
              </w:rPr>
              <w:t>http://www.cninfo.com.cn/</w:t>
            </w:r>
            <w:r>
              <w:rPr>
                <w:rFonts w:ascii="宋体" w:hAnsi="宋体" w:hint="eastAsia"/>
                <w:sz w:val="21"/>
                <w:szCs w:val="21"/>
              </w:rPr>
              <w:t>）</w:t>
            </w:r>
          </w:p>
        </w:tc>
      </w:tr>
      <w:tr w:rsidR="006D5885">
        <w:trPr>
          <w:jc w:val="center"/>
        </w:trPr>
        <w:tc>
          <w:tcPr>
            <w:tcW w:w="23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sz w:val="21"/>
                <w:szCs w:val="21"/>
              </w:rPr>
              <w:t>2018</w:t>
            </w:r>
            <w:r>
              <w:rPr>
                <w:rFonts w:ascii="宋体" w:hAnsi="宋体" w:hint="eastAsia"/>
                <w:sz w:val="21"/>
                <w:szCs w:val="21"/>
              </w:rPr>
              <w:t>年</w:t>
            </w:r>
            <w:r>
              <w:rPr>
                <w:rFonts w:ascii="宋体" w:hAnsi="宋体"/>
                <w:sz w:val="21"/>
                <w:szCs w:val="21"/>
              </w:rPr>
              <w:t>05</w:t>
            </w:r>
            <w:r>
              <w:rPr>
                <w:rFonts w:ascii="宋体" w:hAnsi="宋体" w:hint="eastAsia"/>
                <w:sz w:val="21"/>
                <w:szCs w:val="21"/>
              </w:rPr>
              <w:t>月</w:t>
            </w:r>
            <w:r>
              <w:rPr>
                <w:rFonts w:ascii="宋体" w:hAnsi="宋体"/>
                <w:sz w:val="21"/>
                <w:szCs w:val="21"/>
              </w:rPr>
              <w:t>18</w:t>
            </w:r>
            <w:r>
              <w:rPr>
                <w:rFonts w:ascii="宋体" w:hAnsi="宋体" w:hint="eastAsia"/>
                <w:sz w:val="21"/>
                <w:szCs w:val="21"/>
              </w:rPr>
              <w:t>日</w:t>
            </w:r>
          </w:p>
        </w:tc>
        <w:tc>
          <w:tcPr>
            <w:tcW w:w="200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其他</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机构</w:t>
            </w:r>
          </w:p>
        </w:tc>
        <w:tc>
          <w:tcPr>
            <w:tcW w:w="354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巨潮资讯网（</w:t>
            </w:r>
            <w:r>
              <w:rPr>
                <w:rFonts w:ascii="宋体" w:hAnsi="宋体"/>
                <w:sz w:val="21"/>
                <w:szCs w:val="21"/>
              </w:rPr>
              <w:t>http://www.cninfo.com.cn/</w:t>
            </w:r>
            <w:r>
              <w:rPr>
                <w:rFonts w:ascii="宋体" w:hAnsi="宋体" w:hint="eastAsia"/>
                <w:sz w:val="21"/>
                <w:szCs w:val="21"/>
              </w:rPr>
              <w:t>）</w:t>
            </w:r>
          </w:p>
        </w:tc>
      </w:tr>
      <w:tr w:rsidR="006D5885">
        <w:trPr>
          <w:jc w:val="center"/>
        </w:trPr>
        <w:tc>
          <w:tcPr>
            <w:tcW w:w="23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sz w:val="21"/>
                <w:szCs w:val="21"/>
              </w:rPr>
              <w:t>2018</w:t>
            </w:r>
            <w:r>
              <w:rPr>
                <w:rFonts w:ascii="宋体" w:hAnsi="宋体" w:hint="eastAsia"/>
                <w:sz w:val="21"/>
                <w:szCs w:val="21"/>
              </w:rPr>
              <w:t>年</w:t>
            </w:r>
            <w:r>
              <w:rPr>
                <w:rFonts w:ascii="宋体" w:hAnsi="宋体"/>
                <w:sz w:val="21"/>
                <w:szCs w:val="21"/>
              </w:rPr>
              <w:t>05</w:t>
            </w:r>
            <w:r>
              <w:rPr>
                <w:rFonts w:ascii="宋体" w:hAnsi="宋体" w:hint="eastAsia"/>
                <w:sz w:val="21"/>
                <w:szCs w:val="21"/>
              </w:rPr>
              <w:t>月</w:t>
            </w:r>
            <w:r>
              <w:rPr>
                <w:rFonts w:ascii="宋体" w:hAnsi="宋体"/>
                <w:sz w:val="21"/>
                <w:szCs w:val="21"/>
              </w:rPr>
              <w:t>22</w:t>
            </w:r>
            <w:r>
              <w:rPr>
                <w:rFonts w:ascii="宋体" w:hAnsi="宋体" w:hint="eastAsia"/>
                <w:sz w:val="21"/>
                <w:szCs w:val="21"/>
              </w:rPr>
              <w:t>日</w:t>
            </w:r>
          </w:p>
        </w:tc>
        <w:tc>
          <w:tcPr>
            <w:tcW w:w="200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实地调研</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机构</w:t>
            </w:r>
          </w:p>
        </w:tc>
        <w:tc>
          <w:tcPr>
            <w:tcW w:w="354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巨潮资讯网（</w:t>
            </w:r>
            <w:r>
              <w:rPr>
                <w:rFonts w:ascii="宋体" w:hAnsi="宋体"/>
                <w:sz w:val="21"/>
                <w:szCs w:val="21"/>
              </w:rPr>
              <w:t>http://www.cninfo.com.cn/</w:t>
            </w:r>
            <w:r>
              <w:rPr>
                <w:rFonts w:ascii="宋体" w:hAnsi="宋体" w:hint="eastAsia"/>
                <w:sz w:val="21"/>
                <w:szCs w:val="21"/>
              </w:rPr>
              <w:t>）</w:t>
            </w:r>
          </w:p>
        </w:tc>
      </w:tr>
      <w:tr w:rsidR="006D5885">
        <w:trPr>
          <w:jc w:val="center"/>
        </w:trPr>
        <w:tc>
          <w:tcPr>
            <w:tcW w:w="23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sz w:val="21"/>
                <w:szCs w:val="21"/>
              </w:rPr>
              <w:t>2018</w:t>
            </w:r>
            <w:r>
              <w:rPr>
                <w:rFonts w:ascii="宋体" w:hAnsi="宋体" w:hint="eastAsia"/>
                <w:sz w:val="21"/>
                <w:szCs w:val="21"/>
              </w:rPr>
              <w:t>年</w:t>
            </w:r>
            <w:r>
              <w:rPr>
                <w:rFonts w:ascii="宋体" w:hAnsi="宋体"/>
                <w:sz w:val="21"/>
                <w:szCs w:val="21"/>
              </w:rPr>
              <w:t>07</w:t>
            </w:r>
            <w:r>
              <w:rPr>
                <w:rFonts w:ascii="宋体" w:hAnsi="宋体" w:hint="eastAsia"/>
                <w:sz w:val="21"/>
                <w:szCs w:val="21"/>
              </w:rPr>
              <w:t>月</w:t>
            </w:r>
            <w:r>
              <w:rPr>
                <w:rFonts w:ascii="宋体" w:hAnsi="宋体"/>
                <w:sz w:val="21"/>
                <w:szCs w:val="21"/>
              </w:rPr>
              <w:t>27</w:t>
            </w:r>
            <w:r>
              <w:rPr>
                <w:rFonts w:ascii="宋体" w:hAnsi="宋体" w:hint="eastAsia"/>
                <w:sz w:val="21"/>
                <w:szCs w:val="21"/>
              </w:rPr>
              <w:t>日</w:t>
            </w:r>
          </w:p>
        </w:tc>
        <w:tc>
          <w:tcPr>
            <w:tcW w:w="200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实地调研</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机构</w:t>
            </w:r>
          </w:p>
        </w:tc>
        <w:tc>
          <w:tcPr>
            <w:tcW w:w="354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巨潮资讯网（</w:t>
            </w:r>
            <w:r>
              <w:rPr>
                <w:rFonts w:ascii="宋体" w:hAnsi="宋体"/>
                <w:sz w:val="21"/>
                <w:szCs w:val="21"/>
              </w:rPr>
              <w:t>http://www.cninfo.com.cn/</w:t>
            </w:r>
            <w:r>
              <w:rPr>
                <w:rFonts w:ascii="宋体" w:hAnsi="宋体" w:hint="eastAsia"/>
                <w:sz w:val="21"/>
                <w:szCs w:val="21"/>
              </w:rPr>
              <w:t>）</w:t>
            </w:r>
          </w:p>
        </w:tc>
      </w:tr>
      <w:tr w:rsidR="006D5885">
        <w:trPr>
          <w:jc w:val="center"/>
        </w:trPr>
        <w:tc>
          <w:tcPr>
            <w:tcW w:w="23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sz w:val="21"/>
                <w:szCs w:val="21"/>
              </w:rPr>
              <w:t>2018</w:t>
            </w:r>
            <w:r>
              <w:rPr>
                <w:rFonts w:ascii="宋体" w:hAnsi="宋体" w:hint="eastAsia"/>
                <w:sz w:val="21"/>
                <w:szCs w:val="21"/>
              </w:rPr>
              <w:t>年</w:t>
            </w:r>
            <w:r>
              <w:rPr>
                <w:rFonts w:ascii="宋体" w:hAnsi="宋体"/>
                <w:sz w:val="21"/>
                <w:szCs w:val="21"/>
              </w:rPr>
              <w:t>09</w:t>
            </w:r>
            <w:r>
              <w:rPr>
                <w:rFonts w:ascii="宋体" w:hAnsi="宋体" w:hint="eastAsia"/>
                <w:sz w:val="21"/>
                <w:szCs w:val="21"/>
              </w:rPr>
              <w:t>月</w:t>
            </w:r>
            <w:r>
              <w:rPr>
                <w:rFonts w:ascii="宋体" w:hAnsi="宋体"/>
                <w:sz w:val="21"/>
                <w:szCs w:val="21"/>
              </w:rPr>
              <w:t>14</w:t>
            </w:r>
            <w:r>
              <w:rPr>
                <w:rFonts w:ascii="宋体" w:hAnsi="宋体" w:hint="eastAsia"/>
                <w:sz w:val="21"/>
                <w:szCs w:val="21"/>
              </w:rPr>
              <w:t>日</w:t>
            </w:r>
          </w:p>
        </w:tc>
        <w:tc>
          <w:tcPr>
            <w:tcW w:w="200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其他</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机构</w:t>
            </w:r>
          </w:p>
        </w:tc>
        <w:tc>
          <w:tcPr>
            <w:tcW w:w="354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巨潮资讯网（</w:t>
            </w:r>
            <w:r>
              <w:rPr>
                <w:rFonts w:ascii="宋体" w:hAnsi="宋体"/>
                <w:sz w:val="21"/>
                <w:szCs w:val="21"/>
              </w:rPr>
              <w:t>http://www.cninfo.com.cn/</w:t>
            </w:r>
            <w:r>
              <w:rPr>
                <w:rFonts w:ascii="宋体" w:hAnsi="宋体" w:hint="eastAsia"/>
                <w:sz w:val="21"/>
                <w:szCs w:val="21"/>
              </w:rPr>
              <w:t>）</w:t>
            </w:r>
          </w:p>
        </w:tc>
      </w:tr>
      <w:tr w:rsidR="006D5885">
        <w:trPr>
          <w:jc w:val="center"/>
        </w:trPr>
        <w:tc>
          <w:tcPr>
            <w:tcW w:w="234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sz w:val="21"/>
                <w:szCs w:val="21"/>
              </w:rPr>
              <w:t>2018</w:t>
            </w:r>
            <w:r>
              <w:rPr>
                <w:rFonts w:ascii="宋体" w:hAnsi="宋体" w:hint="eastAsia"/>
                <w:sz w:val="21"/>
                <w:szCs w:val="21"/>
              </w:rPr>
              <w:t>年</w:t>
            </w:r>
            <w:r>
              <w:rPr>
                <w:rFonts w:ascii="宋体" w:hAnsi="宋体"/>
                <w:sz w:val="21"/>
                <w:szCs w:val="21"/>
              </w:rPr>
              <w:t>01</w:t>
            </w:r>
            <w:r>
              <w:rPr>
                <w:rFonts w:ascii="宋体" w:hAnsi="宋体" w:hint="eastAsia"/>
                <w:sz w:val="21"/>
                <w:szCs w:val="21"/>
              </w:rPr>
              <w:t>月</w:t>
            </w:r>
            <w:r>
              <w:rPr>
                <w:rFonts w:ascii="宋体" w:hAnsi="宋体"/>
                <w:sz w:val="21"/>
                <w:szCs w:val="21"/>
              </w:rPr>
              <w:t>01</w:t>
            </w:r>
            <w:r>
              <w:rPr>
                <w:rFonts w:ascii="宋体" w:hAnsi="宋体" w:hint="eastAsia"/>
                <w:sz w:val="21"/>
                <w:szCs w:val="21"/>
              </w:rPr>
              <w:t>日至</w:t>
            </w:r>
            <w:r>
              <w:rPr>
                <w:rFonts w:ascii="宋体" w:hAnsi="宋体"/>
                <w:sz w:val="21"/>
                <w:szCs w:val="21"/>
              </w:rPr>
              <w:t>2018</w:t>
            </w:r>
            <w:r>
              <w:rPr>
                <w:rFonts w:ascii="宋体" w:hAnsi="宋体" w:hint="eastAsia"/>
                <w:sz w:val="21"/>
                <w:szCs w:val="21"/>
              </w:rPr>
              <w:t>年</w:t>
            </w:r>
            <w:r>
              <w:rPr>
                <w:rFonts w:ascii="宋体" w:hAnsi="宋体"/>
                <w:sz w:val="21"/>
                <w:szCs w:val="21"/>
              </w:rPr>
              <w:t>09</w:t>
            </w:r>
            <w:r>
              <w:rPr>
                <w:rFonts w:ascii="宋体" w:hAnsi="宋体" w:hint="eastAsia"/>
                <w:sz w:val="21"/>
                <w:szCs w:val="21"/>
              </w:rPr>
              <w:t>月</w:t>
            </w:r>
            <w:r>
              <w:rPr>
                <w:rFonts w:ascii="宋体" w:hAnsi="宋体"/>
                <w:sz w:val="21"/>
                <w:szCs w:val="21"/>
              </w:rPr>
              <w:t>30</w:t>
            </w:r>
            <w:r>
              <w:rPr>
                <w:rFonts w:ascii="宋体" w:hAnsi="宋体" w:hint="eastAsia"/>
                <w:sz w:val="21"/>
                <w:szCs w:val="21"/>
              </w:rPr>
              <w:t>日</w:t>
            </w:r>
          </w:p>
        </w:tc>
        <w:tc>
          <w:tcPr>
            <w:tcW w:w="2006"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电话沟通</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ascii="宋体" w:hAnsi="宋体" w:hint="eastAsia"/>
                <w:sz w:val="21"/>
                <w:szCs w:val="21"/>
              </w:rPr>
              <w:t>其他</w:t>
            </w:r>
          </w:p>
        </w:tc>
        <w:tc>
          <w:tcPr>
            <w:tcW w:w="3545"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cs="Times New Roman"/>
                <w:sz w:val="21"/>
                <w:szCs w:val="21"/>
              </w:rPr>
            </w:pPr>
            <w:r>
              <w:rPr>
                <w:rFonts w:cs="Times New Roman"/>
                <w:sz w:val="21"/>
                <w:szCs w:val="21"/>
              </w:rPr>
              <w:t>-</w:t>
            </w:r>
          </w:p>
        </w:tc>
      </w:tr>
    </w:tbl>
    <w:p w:rsidR="006D5885" w:rsidRDefault="006D5885">
      <w:pPr>
        <w:pStyle w:val="Chapter"/>
        <w:spacing w:before="0" w:after="0" w:line="360" w:lineRule="auto"/>
        <w:outlineLvl w:val="1"/>
        <w:rPr>
          <w:rFonts w:cs="Times New Roman"/>
        </w:rPr>
      </w:pPr>
      <w:r>
        <w:rPr>
          <w:rFonts w:ascii="宋体" w:hAnsi="宋体" w:hint="eastAsia"/>
        </w:rPr>
        <w:t>九、违规对外担保情况</w:t>
      </w:r>
    </w:p>
    <w:p w:rsidR="006D5885" w:rsidRDefault="006D5885">
      <w:pPr>
        <w:spacing w:before="0" w:after="0" w:line="360" w:lineRule="auto"/>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适用</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不适用</w:t>
      </w:r>
      <w:r>
        <w:rPr>
          <w:rFonts w:ascii="宋体" w:hAnsi="宋体"/>
          <w:sz w:val="24"/>
          <w:szCs w:val="24"/>
        </w:rPr>
        <w:t xml:space="preserve"> </w:t>
      </w:r>
    </w:p>
    <w:p w:rsidR="006D5885" w:rsidRDefault="006D5885">
      <w:pPr>
        <w:spacing w:before="0" w:after="0" w:line="360" w:lineRule="auto"/>
        <w:rPr>
          <w:rFonts w:cs="Times New Roman"/>
          <w:sz w:val="24"/>
          <w:szCs w:val="24"/>
        </w:rPr>
      </w:pPr>
      <w:r>
        <w:rPr>
          <w:rFonts w:ascii="宋体" w:hAnsi="宋体" w:hint="eastAsia"/>
          <w:sz w:val="24"/>
          <w:szCs w:val="24"/>
        </w:rPr>
        <w:t>公司报告期无违规对外担保情况。</w:t>
      </w:r>
    </w:p>
    <w:p w:rsidR="006D5885" w:rsidRDefault="006D5885">
      <w:pPr>
        <w:pStyle w:val="Chapter"/>
        <w:spacing w:before="0" w:after="0" w:line="360" w:lineRule="auto"/>
        <w:outlineLvl w:val="1"/>
        <w:rPr>
          <w:rFonts w:cs="Times New Roman"/>
        </w:rPr>
      </w:pPr>
      <w:r>
        <w:rPr>
          <w:rFonts w:ascii="宋体" w:hAnsi="宋体" w:hint="eastAsia"/>
        </w:rPr>
        <w:t>十、控股股东及其关联方对上市公司的非经营性占用资金情况</w:t>
      </w:r>
    </w:p>
    <w:p w:rsidR="006D5885" w:rsidRDefault="006D5885">
      <w:pPr>
        <w:spacing w:before="0" w:after="0" w:line="360" w:lineRule="auto"/>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适用</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不适用</w:t>
      </w:r>
      <w:r>
        <w:rPr>
          <w:rFonts w:ascii="宋体" w:hAnsi="宋体"/>
          <w:sz w:val="24"/>
          <w:szCs w:val="24"/>
        </w:rPr>
        <w:t xml:space="preserve"> </w:t>
      </w:r>
    </w:p>
    <w:p w:rsidR="006D5885" w:rsidRDefault="006D5885">
      <w:pPr>
        <w:spacing w:before="0" w:after="0" w:line="360" w:lineRule="auto"/>
        <w:jc w:val="right"/>
        <w:rPr>
          <w:sz w:val="24"/>
          <w:szCs w:val="24"/>
        </w:rPr>
      </w:pPr>
      <w:r>
        <w:rPr>
          <w:rFonts w:ascii="宋体" w:hAnsi="宋体" w:hint="eastAsia"/>
          <w:sz w:val="24"/>
          <w:szCs w:val="24"/>
        </w:rPr>
        <w:t>单位：万元</w:t>
      </w:r>
    </w:p>
    <w:tbl>
      <w:tblPr>
        <w:tblW w:w="0" w:type="auto"/>
        <w:jc w:val="center"/>
        <w:tblLayout w:type="fixed"/>
        <w:tblLook w:val="0000" w:firstRow="0" w:lastRow="0" w:firstColumn="0" w:lastColumn="0" w:noHBand="0" w:noVBand="0"/>
      </w:tblPr>
      <w:tblGrid>
        <w:gridCol w:w="1350"/>
        <w:gridCol w:w="758"/>
        <w:gridCol w:w="956"/>
        <w:gridCol w:w="958"/>
        <w:gridCol w:w="958"/>
        <w:gridCol w:w="958"/>
        <w:gridCol w:w="958"/>
        <w:gridCol w:w="1069"/>
        <w:gridCol w:w="847"/>
        <w:gridCol w:w="959"/>
      </w:tblGrid>
      <w:tr w:rsidR="006D5885">
        <w:trPr>
          <w:jc w:val="center"/>
        </w:trPr>
        <w:tc>
          <w:tcPr>
            <w:tcW w:w="1350"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sz w:val="21"/>
                <w:szCs w:val="21"/>
              </w:rPr>
            </w:pPr>
            <w:r>
              <w:rPr>
                <w:rFonts w:ascii="宋体" w:hAnsi="宋体" w:hint="eastAsia"/>
                <w:sz w:val="21"/>
                <w:szCs w:val="21"/>
              </w:rPr>
              <w:t>股东或关联人名称</w:t>
            </w:r>
          </w:p>
        </w:tc>
        <w:tc>
          <w:tcPr>
            <w:tcW w:w="758"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sz w:val="21"/>
                <w:szCs w:val="21"/>
              </w:rPr>
            </w:pPr>
            <w:r>
              <w:rPr>
                <w:rFonts w:ascii="宋体" w:hAnsi="宋体" w:hint="eastAsia"/>
                <w:sz w:val="21"/>
                <w:szCs w:val="21"/>
              </w:rPr>
              <w:t>占用时间</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rFonts w:ascii="宋体"/>
                <w:sz w:val="21"/>
                <w:szCs w:val="21"/>
              </w:rPr>
            </w:pPr>
            <w:r>
              <w:rPr>
                <w:rFonts w:ascii="宋体" w:hAnsi="宋体" w:hint="eastAsia"/>
                <w:sz w:val="21"/>
                <w:szCs w:val="21"/>
              </w:rPr>
              <w:t>发生</w:t>
            </w:r>
          </w:p>
          <w:p w:rsidR="006D5885" w:rsidRDefault="006D5885">
            <w:pPr>
              <w:jc w:val="center"/>
              <w:rPr>
                <w:sz w:val="21"/>
                <w:szCs w:val="21"/>
              </w:rPr>
            </w:pPr>
            <w:r>
              <w:rPr>
                <w:rFonts w:ascii="宋体" w:hAnsi="宋体" w:hint="eastAsia"/>
                <w:sz w:val="21"/>
                <w:szCs w:val="21"/>
              </w:rPr>
              <w:t>原因</w:t>
            </w:r>
          </w:p>
        </w:tc>
        <w:tc>
          <w:tcPr>
            <w:tcW w:w="958"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sz w:val="21"/>
                <w:szCs w:val="21"/>
              </w:rPr>
            </w:pPr>
            <w:r>
              <w:rPr>
                <w:rFonts w:ascii="宋体" w:hAnsi="宋体" w:hint="eastAsia"/>
                <w:sz w:val="21"/>
                <w:szCs w:val="21"/>
              </w:rPr>
              <w:t>期初数</w:t>
            </w:r>
          </w:p>
        </w:tc>
        <w:tc>
          <w:tcPr>
            <w:tcW w:w="958"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sz w:val="21"/>
                <w:szCs w:val="21"/>
              </w:rPr>
            </w:pPr>
            <w:r>
              <w:rPr>
                <w:rFonts w:ascii="宋体" w:hAnsi="宋体" w:hint="eastAsia"/>
                <w:sz w:val="21"/>
                <w:szCs w:val="21"/>
              </w:rPr>
              <w:t>报告期新增占用金额</w:t>
            </w:r>
          </w:p>
        </w:tc>
        <w:tc>
          <w:tcPr>
            <w:tcW w:w="958"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sz w:val="21"/>
                <w:szCs w:val="21"/>
              </w:rPr>
            </w:pPr>
            <w:r>
              <w:rPr>
                <w:rFonts w:ascii="宋体" w:hAnsi="宋体" w:hint="eastAsia"/>
                <w:sz w:val="21"/>
                <w:szCs w:val="21"/>
              </w:rPr>
              <w:t>报告期偿还总金额</w:t>
            </w:r>
          </w:p>
        </w:tc>
        <w:tc>
          <w:tcPr>
            <w:tcW w:w="958"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sz w:val="21"/>
                <w:szCs w:val="21"/>
              </w:rPr>
            </w:pPr>
            <w:r>
              <w:rPr>
                <w:rFonts w:ascii="宋体" w:hAnsi="宋体" w:hint="eastAsia"/>
                <w:sz w:val="21"/>
                <w:szCs w:val="21"/>
              </w:rPr>
              <w:t>期末数</w:t>
            </w:r>
          </w:p>
        </w:tc>
        <w:tc>
          <w:tcPr>
            <w:tcW w:w="1069"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sz w:val="21"/>
                <w:szCs w:val="21"/>
              </w:rPr>
            </w:pPr>
            <w:r>
              <w:rPr>
                <w:rFonts w:ascii="宋体" w:hAnsi="宋体" w:hint="eastAsia"/>
                <w:sz w:val="21"/>
                <w:szCs w:val="21"/>
              </w:rPr>
              <w:t>预计偿还方式</w:t>
            </w:r>
          </w:p>
        </w:tc>
        <w:tc>
          <w:tcPr>
            <w:tcW w:w="847"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sz w:val="21"/>
                <w:szCs w:val="21"/>
              </w:rPr>
            </w:pPr>
            <w:r>
              <w:rPr>
                <w:rFonts w:ascii="宋体" w:hAnsi="宋体" w:hint="eastAsia"/>
                <w:sz w:val="21"/>
                <w:szCs w:val="21"/>
              </w:rPr>
              <w:t>预计偿还金额</w:t>
            </w:r>
          </w:p>
        </w:tc>
        <w:tc>
          <w:tcPr>
            <w:tcW w:w="959"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sz w:val="21"/>
                <w:szCs w:val="21"/>
              </w:rPr>
            </w:pPr>
            <w:r>
              <w:rPr>
                <w:rFonts w:ascii="宋体" w:hAnsi="宋体" w:hint="eastAsia"/>
                <w:sz w:val="21"/>
                <w:szCs w:val="21"/>
              </w:rPr>
              <w:t>预计偿还时间（月份）</w:t>
            </w:r>
          </w:p>
        </w:tc>
      </w:tr>
      <w:tr w:rsidR="006D5885">
        <w:trPr>
          <w:jc w:val="center"/>
        </w:trPr>
        <w:tc>
          <w:tcPr>
            <w:tcW w:w="1350" w:type="dxa"/>
            <w:tcBorders>
              <w:top w:val="single" w:sz="4" w:space="0" w:color="auto"/>
              <w:left w:val="single" w:sz="4" w:space="0" w:color="auto"/>
              <w:bottom w:val="single" w:sz="4" w:space="0" w:color="auto"/>
              <w:right w:val="single" w:sz="4" w:space="0" w:color="auto"/>
            </w:tcBorders>
            <w:vAlign w:val="center"/>
          </w:tcPr>
          <w:p w:rsidR="006D5885" w:rsidRDefault="006D5885">
            <w:pPr>
              <w:jc w:val="left"/>
              <w:rPr>
                <w:sz w:val="21"/>
                <w:szCs w:val="21"/>
              </w:rPr>
            </w:pPr>
            <w:r>
              <w:rPr>
                <w:rFonts w:ascii="宋体" w:hAnsi="宋体" w:hint="eastAsia"/>
                <w:sz w:val="21"/>
                <w:szCs w:val="21"/>
              </w:rPr>
              <w:t>中山市南部供水股份有限公司</w:t>
            </w:r>
          </w:p>
        </w:tc>
        <w:tc>
          <w:tcPr>
            <w:tcW w:w="758" w:type="dxa"/>
            <w:tcBorders>
              <w:top w:val="single" w:sz="4" w:space="0" w:color="auto"/>
              <w:left w:val="single" w:sz="4" w:space="0" w:color="auto"/>
              <w:bottom w:val="single" w:sz="4" w:space="0" w:color="auto"/>
              <w:right w:val="single" w:sz="4" w:space="0" w:color="auto"/>
            </w:tcBorders>
            <w:vAlign w:val="center"/>
          </w:tcPr>
          <w:p w:rsidR="006D5885" w:rsidRDefault="006D5885">
            <w:pPr>
              <w:jc w:val="left"/>
              <w:rPr>
                <w:sz w:val="21"/>
                <w:szCs w:val="21"/>
              </w:rPr>
            </w:pPr>
            <w:r>
              <w:rPr>
                <w:rFonts w:ascii="宋体" w:hAnsi="宋体"/>
                <w:sz w:val="21"/>
                <w:szCs w:val="21"/>
              </w:rPr>
              <w:t>1</w:t>
            </w:r>
            <w:r>
              <w:rPr>
                <w:rFonts w:ascii="宋体" w:hAnsi="宋体" w:hint="eastAsia"/>
                <w:sz w:val="21"/>
                <w:szCs w:val="21"/>
              </w:rPr>
              <w:t>年以内</w:t>
            </w:r>
          </w:p>
        </w:tc>
        <w:tc>
          <w:tcPr>
            <w:tcW w:w="956"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left"/>
              <w:rPr>
                <w:sz w:val="21"/>
                <w:szCs w:val="21"/>
              </w:rPr>
            </w:pPr>
            <w:r>
              <w:rPr>
                <w:rFonts w:ascii="宋体" w:hAnsi="宋体" w:hint="eastAsia"/>
                <w:sz w:val="21"/>
                <w:szCs w:val="21"/>
              </w:rPr>
              <w:t>代付社保款项</w:t>
            </w:r>
          </w:p>
        </w:tc>
        <w:tc>
          <w:tcPr>
            <w:tcW w:w="958"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1.82</w:t>
            </w:r>
          </w:p>
        </w:tc>
        <w:tc>
          <w:tcPr>
            <w:tcW w:w="958"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1.2</w:t>
            </w:r>
          </w:p>
        </w:tc>
        <w:tc>
          <w:tcPr>
            <w:tcW w:w="958"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3.02</w:t>
            </w:r>
          </w:p>
        </w:tc>
        <w:tc>
          <w:tcPr>
            <w:tcW w:w="958" w:type="dxa"/>
            <w:vMerge w:val="restart"/>
            <w:tcBorders>
              <w:top w:val="single" w:sz="4" w:space="0" w:color="auto"/>
              <w:left w:val="single" w:sz="4" w:space="0" w:color="auto"/>
              <w:bottom w:val="single" w:sz="4" w:space="0" w:color="auto"/>
              <w:right w:val="single" w:sz="4" w:space="0" w:color="auto"/>
            </w:tcBorders>
            <w:vAlign w:val="center"/>
          </w:tcPr>
          <w:p w:rsidR="006D5885" w:rsidRDefault="006D5885">
            <w:pPr>
              <w:jc w:val="right"/>
              <w:rPr>
                <w:rFonts w:ascii="宋体" w:hAnsi="宋体"/>
                <w:sz w:val="21"/>
                <w:szCs w:val="21"/>
              </w:rPr>
            </w:pPr>
            <w:r>
              <w:rPr>
                <w:rFonts w:ascii="宋体" w:hAnsi="宋体"/>
                <w:sz w:val="21"/>
                <w:szCs w:val="21"/>
              </w:rPr>
              <w:t>0</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sz w:val="21"/>
                <w:szCs w:val="21"/>
              </w:rPr>
            </w:pPr>
            <w:r>
              <w:rPr>
                <w:rFonts w:ascii="宋体" w:hAnsi="宋体" w:hint="eastAsia"/>
                <w:sz w:val="21"/>
                <w:szCs w:val="21"/>
              </w:rPr>
              <w:t>现金清偿</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sz w:val="21"/>
                <w:szCs w:val="21"/>
              </w:rPr>
            </w:pPr>
            <w:r>
              <w:rPr>
                <w:sz w:val="21"/>
                <w:szCs w:val="21"/>
              </w:rPr>
              <w:t>-</w:t>
            </w:r>
          </w:p>
        </w:tc>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sz w:val="21"/>
                <w:szCs w:val="21"/>
              </w:rPr>
            </w:pPr>
            <w:r>
              <w:rPr>
                <w:sz w:val="21"/>
                <w:szCs w:val="21"/>
              </w:rPr>
              <w:t>-</w:t>
            </w:r>
          </w:p>
        </w:tc>
      </w:tr>
      <w:tr w:rsidR="006D5885">
        <w:trPr>
          <w:jc w:val="center"/>
        </w:trPr>
        <w:tc>
          <w:tcPr>
            <w:tcW w:w="3064"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sz w:val="21"/>
                <w:szCs w:val="21"/>
              </w:rPr>
            </w:pPr>
            <w:r>
              <w:rPr>
                <w:rFonts w:ascii="宋体" w:hAnsi="宋体" w:hint="eastAsia"/>
                <w:sz w:val="21"/>
                <w:szCs w:val="21"/>
              </w:rPr>
              <w:t>合计</w:t>
            </w: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1.82</w:t>
            </w: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1.2</w:t>
            </w: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3.02</w:t>
            </w: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rFonts w:ascii="宋体" w:hAnsi="宋体"/>
                <w:sz w:val="21"/>
                <w:szCs w:val="21"/>
              </w:rPr>
            </w:pPr>
            <w:r>
              <w:rPr>
                <w:rFonts w:ascii="宋体" w:hAnsi="宋体"/>
                <w:sz w:val="21"/>
                <w:szCs w:val="21"/>
              </w:rPr>
              <w:t>0</w:t>
            </w:r>
          </w:p>
        </w:tc>
        <w:tc>
          <w:tcPr>
            <w:tcW w:w="1069"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sz w:val="21"/>
                <w:szCs w:val="21"/>
              </w:rPr>
            </w:pPr>
            <w:r>
              <w:rPr>
                <w:sz w:val="21"/>
                <w:szCs w:val="21"/>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right"/>
              <w:rPr>
                <w:sz w:val="21"/>
                <w:szCs w:val="21"/>
              </w:rPr>
            </w:pPr>
            <w:r>
              <w:rPr>
                <w:sz w:val="21"/>
                <w:szCs w:val="21"/>
              </w:rPr>
              <w:t>0</w:t>
            </w:r>
          </w:p>
        </w:tc>
        <w:tc>
          <w:tcPr>
            <w:tcW w:w="959" w:type="dxa"/>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center"/>
              <w:rPr>
                <w:sz w:val="21"/>
                <w:szCs w:val="21"/>
              </w:rPr>
            </w:pPr>
            <w:r>
              <w:rPr>
                <w:sz w:val="21"/>
                <w:szCs w:val="21"/>
              </w:rPr>
              <w:t>--</w:t>
            </w:r>
          </w:p>
        </w:tc>
      </w:tr>
      <w:tr w:rsidR="006D5885">
        <w:trPr>
          <w:jc w:val="center"/>
        </w:trPr>
        <w:tc>
          <w:tcPr>
            <w:tcW w:w="3064"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sz w:val="21"/>
                <w:szCs w:val="21"/>
              </w:rPr>
            </w:pPr>
            <w:r>
              <w:rPr>
                <w:rFonts w:ascii="宋体" w:hAnsi="宋体" w:hint="eastAsia"/>
                <w:sz w:val="21"/>
                <w:szCs w:val="21"/>
              </w:rPr>
              <w:t>期末合计值占最近一期经审计净资产的比例</w:t>
            </w:r>
          </w:p>
        </w:tc>
        <w:tc>
          <w:tcPr>
            <w:tcW w:w="670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rFonts w:ascii="宋体" w:hAnsi="宋体"/>
                <w:sz w:val="21"/>
                <w:szCs w:val="21"/>
              </w:rPr>
            </w:pPr>
            <w:r>
              <w:rPr>
                <w:rFonts w:ascii="宋体" w:hAnsi="宋体"/>
                <w:sz w:val="21"/>
                <w:szCs w:val="21"/>
              </w:rPr>
              <w:t>0.00%</w:t>
            </w:r>
          </w:p>
        </w:tc>
      </w:tr>
      <w:tr w:rsidR="006D5885">
        <w:trPr>
          <w:jc w:val="center"/>
        </w:trPr>
        <w:tc>
          <w:tcPr>
            <w:tcW w:w="3064"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sz w:val="21"/>
                <w:szCs w:val="21"/>
              </w:rPr>
            </w:pPr>
            <w:r>
              <w:rPr>
                <w:rFonts w:ascii="宋体" w:hAnsi="宋体" w:hint="eastAsia"/>
                <w:sz w:val="21"/>
                <w:szCs w:val="21"/>
              </w:rPr>
              <w:t>相关决策程序</w:t>
            </w:r>
          </w:p>
        </w:tc>
        <w:tc>
          <w:tcPr>
            <w:tcW w:w="670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sz w:val="21"/>
                <w:szCs w:val="21"/>
              </w:rPr>
            </w:pPr>
            <w:r>
              <w:rPr>
                <w:rFonts w:ascii="宋体" w:hAnsi="宋体" w:hint="eastAsia"/>
                <w:sz w:val="21"/>
                <w:szCs w:val="21"/>
              </w:rPr>
              <w:t>金额较小，已全部收回。</w:t>
            </w:r>
          </w:p>
        </w:tc>
      </w:tr>
      <w:tr w:rsidR="006D5885">
        <w:trPr>
          <w:jc w:val="center"/>
        </w:trPr>
        <w:tc>
          <w:tcPr>
            <w:tcW w:w="3064"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sz w:val="21"/>
                <w:szCs w:val="21"/>
              </w:rPr>
            </w:pPr>
            <w:r>
              <w:rPr>
                <w:rFonts w:ascii="宋体" w:hAnsi="宋体" w:hint="eastAsia"/>
                <w:sz w:val="21"/>
                <w:szCs w:val="21"/>
              </w:rPr>
              <w:t>当期新增大股东及其附属企业非经营性资金占用情况的原因、责任人追究及董事会拟定采取措施的情况说明</w:t>
            </w:r>
          </w:p>
        </w:tc>
        <w:tc>
          <w:tcPr>
            <w:tcW w:w="670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sz w:val="21"/>
                <w:szCs w:val="21"/>
              </w:rPr>
            </w:pPr>
            <w:r>
              <w:rPr>
                <w:rFonts w:ascii="宋体" w:hAnsi="宋体" w:hint="eastAsia"/>
                <w:sz w:val="21"/>
                <w:szCs w:val="21"/>
              </w:rPr>
              <w:t>中山市南部供水股份有限公司占用款项系公司子公司中山公用工程有限公司借用中山市南部供水股份有限公司人员，由中山公用工程有限公司代为缴纳社保款项形成。此款项已全部收回，已完成相关人员社保手续办理，不再形成关联方非经营性资金占用。</w:t>
            </w:r>
          </w:p>
        </w:tc>
      </w:tr>
      <w:tr w:rsidR="006D5885">
        <w:trPr>
          <w:jc w:val="center"/>
        </w:trPr>
        <w:tc>
          <w:tcPr>
            <w:tcW w:w="3064"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sz w:val="21"/>
                <w:szCs w:val="21"/>
              </w:rPr>
            </w:pPr>
            <w:r>
              <w:rPr>
                <w:rFonts w:ascii="宋体" w:hAnsi="宋体" w:hint="eastAsia"/>
                <w:sz w:val="21"/>
                <w:szCs w:val="21"/>
              </w:rPr>
              <w:t>未能按计划清偿非经营性资金占用的原因、责任追究情况及董事会拟定采取的措施说明</w:t>
            </w:r>
          </w:p>
        </w:tc>
        <w:tc>
          <w:tcPr>
            <w:tcW w:w="670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sz w:val="21"/>
                <w:szCs w:val="21"/>
              </w:rPr>
            </w:pPr>
            <w:r>
              <w:rPr>
                <w:rFonts w:ascii="宋体" w:hAnsi="宋体" w:hint="eastAsia"/>
                <w:sz w:val="21"/>
                <w:szCs w:val="21"/>
              </w:rPr>
              <w:t>已清偿。</w:t>
            </w:r>
          </w:p>
        </w:tc>
      </w:tr>
      <w:tr w:rsidR="006D5885">
        <w:trPr>
          <w:jc w:val="center"/>
        </w:trPr>
        <w:tc>
          <w:tcPr>
            <w:tcW w:w="3064"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6D5885" w:rsidRDefault="006D5885">
            <w:pPr>
              <w:jc w:val="left"/>
              <w:rPr>
                <w:sz w:val="21"/>
                <w:szCs w:val="21"/>
              </w:rPr>
            </w:pPr>
            <w:r>
              <w:rPr>
                <w:rFonts w:ascii="宋体" w:hAnsi="宋体" w:hint="eastAsia"/>
                <w:sz w:val="21"/>
                <w:szCs w:val="21"/>
              </w:rPr>
              <w:t>注册会计师对资金占用的专项审核意见的披露索引</w:t>
            </w:r>
          </w:p>
        </w:tc>
        <w:tc>
          <w:tcPr>
            <w:tcW w:w="670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D5885" w:rsidRDefault="006D5885">
            <w:pPr>
              <w:jc w:val="left"/>
              <w:rPr>
                <w:sz w:val="21"/>
                <w:szCs w:val="21"/>
              </w:rPr>
            </w:pPr>
            <w:r>
              <w:rPr>
                <w:rFonts w:ascii="宋体" w:hAnsi="宋体" w:hint="eastAsia"/>
                <w:sz w:val="21"/>
                <w:szCs w:val="21"/>
              </w:rPr>
              <w:t>无。</w:t>
            </w:r>
          </w:p>
        </w:tc>
      </w:tr>
    </w:tbl>
    <w:p w:rsidR="006D5885" w:rsidRDefault="006D5885">
      <w:pPr>
        <w:pStyle w:val="Chapter"/>
        <w:spacing w:before="0" w:after="0" w:line="360" w:lineRule="auto"/>
        <w:outlineLvl w:val="1"/>
        <w:rPr>
          <w:rFonts w:cs="Times New Roman"/>
        </w:rPr>
      </w:pPr>
      <w:r>
        <w:rPr>
          <w:rFonts w:ascii="宋体" w:hAnsi="宋体" w:hint="eastAsia"/>
        </w:rPr>
        <w:t>十一、其他重大事项说明</w:t>
      </w:r>
    </w:p>
    <w:p w:rsidR="006D5885" w:rsidRDefault="006D5885">
      <w:pPr>
        <w:spacing w:before="0" w:after="0" w:line="360" w:lineRule="auto"/>
        <w:ind w:firstLineChars="200" w:firstLine="480"/>
        <w:rPr>
          <w:rFonts w:cs="Times New Roman"/>
          <w:sz w:val="24"/>
          <w:szCs w:val="24"/>
        </w:rPr>
      </w:pPr>
      <w:r>
        <w:rPr>
          <w:rFonts w:ascii="宋体" w:hAnsi="宋体" w:hint="eastAsia"/>
          <w:sz w:val="24"/>
          <w:szCs w:val="24"/>
        </w:rPr>
        <w:t>根据财政部修订的《企业会计准则第</w:t>
      </w:r>
      <w:r>
        <w:rPr>
          <w:rFonts w:ascii="宋体" w:hAnsi="宋体"/>
          <w:sz w:val="24"/>
          <w:szCs w:val="24"/>
        </w:rPr>
        <w:t>22</w:t>
      </w:r>
      <w:r>
        <w:rPr>
          <w:rFonts w:ascii="宋体" w:hAnsi="宋体" w:hint="eastAsia"/>
          <w:sz w:val="24"/>
          <w:szCs w:val="24"/>
        </w:rPr>
        <w:t>号</w:t>
      </w:r>
      <w:r>
        <w:rPr>
          <w:rFonts w:ascii="宋体" w:hAnsi="宋体"/>
          <w:sz w:val="24"/>
          <w:szCs w:val="24"/>
        </w:rPr>
        <w:t>—</w:t>
      </w:r>
      <w:r>
        <w:rPr>
          <w:rFonts w:ascii="宋体" w:hAnsi="宋体" w:hint="eastAsia"/>
          <w:sz w:val="24"/>
          <w:szCs w:val="24"/>
        </w:rPr>
        <w:t>金融工具确认和计量》、《企业会计准则第</w:t>
      </w:r>
      <w:r>
        <w:rPr>
          <w:rFonts w:ascii="宋体" w:hAnsi="宋体"/>
          <w:sz w:val="24"/>
          <w:szCs w:val="24"/>
        </w:rPr>
        <w:t>23</w:t>
      </w:r>
      <w:r>
        <w:rPr>
          <w:rFonts w:ascii="宋体" w:hAnsi="宋体" w:hint="eastAsia"/>
          <w:sz w:val="24"/>
          <w:szCs w:val="24"/>
        </w:rPr>
        <w:t>号</w:t>
      </w:r>
      <w:r>
        <w:rPr>
          <w:rFonts w:ascii="宋体" w:hAnsi="宋体"/>
          <w:sz w:val="24"/>
          <w:szCs w:val="24"/>
        </w:rPr>
        <w:t>—</w:t>
      </w:r>
      <w:r>
        <w:rPr>
          <w:rFonts w:ascii="宋体" w:hAnsi="宋体" w:hint="eastAsia"/>
          <w:sz w:val="24"/>
          <w:szCs w:val="24"/>
        </w:rPr>
        <w:t>金融资产转移》、《企业会计准则第</w:t>
      </w:r>
      <w:r>
        <w:rPr>
          <w:rFonts w:ascii="宋体" w:hAnsi="宋体"/>
          <w:sz w:val="24"/>
          <w:szCs w:val="24"/>
        </w:rPr>
        <w:t>24</w:t>
      </w:r>
      <w:r>
        <w:rPr>
          <w:rFonts w:ascii="宋体" w:hAnsi="宋体" w:hint="eastAsia"/>
          <w:sz w:val="24"/>
          <w:szCs w:val="24"/>
        </w:rPr>
        <w:t>号</w:t>
      </w:r>
      <w:r>
        <w:rPr>
          <w:rFonts w:ascii="宋体" w:hAnsi="宋体"/>
          <w:sz w:val="24"/>
          <w:szCs w:val="24"/>
        </w:rPr>
        <w:t>—</w:t>
      </w:r>
      <w:r>
        <w:rPr>
          <w:rFonts w:ascii="宋体" w:hAnsi="宋体" w:hint="eastAsia"/>
          <w:sz w:val="24"/>
          <w:szCs w:val="24"/>
        </w:rPr>
        <w:t>套期会计》和《企业会计准则第</w:t>
      </w:r>
      <w:r>
        <w:rPr>
          <w:rFonts w:ascii="宋体" w:hAnsi="宋体"/>
          <w:sz w:val="24"/>
          <w:szCs w:val="24"/>
        </w:rPr>
        <w:t>37</w:t>
      </w:r>
      <w:r>
        <w:rPr>
          <w:rFonts w:ascii="宋体" w:hAnsi="宋体" w:hint="eastAsia"/>
          <w:sz w:val="24"/>
          <w:szCs w:val="24"/>
        </w:rPr>
        <w:t>号</w:t>
      </w:r>
      <w:r>
        <w:rPr>
          <w:rFonts w:ascii="宋体" w:hAnsi="宋体"/>
          <w:sz w:val="24"/>
          <w:szCs w:val="24"/>
        </w:rPr>
        <w:t>—</w:t>
      </w:r>
      <w:r>
        <w:rPr>
          <w:rFonts w:ascii="宋体" w:hAnsi="宋体" w:hint="eastAsia"/>
          <w:sz w:val="24"/>
          <w:szCs w:val="24"/>
        </w:rPr>
        <w:t>金融工具列报》，规定在境内外同时上市的企业以及在境外上市并采用国际财务报告准则或企业会计准则编制财务报告的企业，自</w:t>
      </w:r>
      <w:r>
        <w:rPr>
          <w:rFonts w:ascii="宋体" w:hAnsi="宋体"/>
          <w:sz w:val="24"/>
          <w:szCs w:val="24"/>
        </w:rPr>
        <w:t>2018</w:t>
      </w:r>
      <w:r>
        <w:rPr>
          <w:rFonts w:ascii="宋体" w:hAnsi="宋体" w:hint="eastAsia"/>
          <w:sz w:val="24"/>
          <w:szCs w:val="24"/>
        </w:rPr>
        <w:t>年</w:t>
      </w:r>
      <w:r>
        <w:rPr>
          <w:rFonts w:ascii="宋体" w:hAnsi="宋体"/>
          <w:sz w:val="24"/>
          <w:szCs w:val="24"/>
        </w:rPr>
        <w:t>1</w:t>
      </w:r>
      <w:r>
        <w:rPr>
          <w:rFonts w:ascii="宋体" w:hAnsi="宋体" w:hint="eastAsia"/>
          <w:sz w:val="24"/>
          <w:szCs w:val="24"/>
        </w:rPr>
        <w:t>月</w:t>
      </w:r>
      <w:r>
        <w:rPr>
          <w:rFonts w:ascii="宋体" w:hAnsi="宋体"/>
          <w:sz w:val="24"/>
          <w:szCs w:val="24"/>
        </w:rPr>
        <w:t>1</w:t>
      </w:r>
      <w:r>
        <w:rPr>
          <w:rFonts w:ascii="宋体" w:hAnsi="宋体" w:hint="eastAsia"/>
          <w:sz w:val="24"/>
          <w:szCs w:val="24"/>
        </w:rPr>
        <w:t>日起施行。广发证券自</w:t>
      </w:r>
      <w:r>
        <w:rPr>
          <w:rFonts w:ascii="宋体" w:hAnsi="宋体"/>
          <w:sz w:val="24"/>
          <w:szCs w:val="24"/>
        </w:rPr>
        <w:t>2018</w:t>
      </w:r>
      <w:r>
        <w:rPr>
          <w:rFonts w:ascii="宋体" w:hAnsi="宋体" w:hint="eastAsia"/>
          <w:sz w:val="24"/>
          <w:szCs w:val="24"/>
        </w:rPr>
        <w:t>年</w:t>
      </w:r>
      <w:r>
        <w:rPr>
          <w:rFonts w:ascii="宋体" w:hAnsi="宋体"/>
          <w:sz w:val="24"/>
          <w:szCs w:val="24"/>
        </w:rPr>
        <w:t>1</w:t>
      </w:r>
      <w:r>
        <w:rPr>
          <w:rFonts w:ascii="宋体" w:hAnsi="宋体" w:hint="eastAsia"/>
          <w:sz w:val="24"/>
          <w:szCs w:val="24"/>
        </w:rPr>
        <w:t>月</w:t>
      </w:r>
      <w:r>
        <w:rPr>
          <w:rFonts w:ascii="宋体" w:hAnsi="宋体"/>
          <w:sz w:val="24"/>
          <w:szCs w:val="24"/>
        </w:rPr>
        <w:t>1</w:t>
      </w:r>
      <w:r>
        <w:rPr>
          <w:rFonts w:ascii="宋体" w:hAnsi="宋体" w:hint="eastAsia"/>
          <w:sz w:val="24"/>
          <w:szCs w:val="24"/>
        </w:rPr>
        <w:t>日起变更会计政策，施行修订后的金融工具准则，根据该准则衔接规定，在施行日，企业应当按照本准则的规定对金融工具进行分类和计量（含减值），涉及前期比较财务报表数据与本准则要求不一致的，无需调整。金融工具原账面价值和在本准则施行日的新账面价值之间的差额，计入本准则施行日所在年度报告期间的期初留存收益或其他综合收益。本准则实施对广发证券股份有限公司合并报表归属于母公司股东权益期初数的影响金额为</w:t>
      </w:r>
      <w:r>
        <w:rPr>
          <w:rFonts w:ascii="宋体" w:hAnsi="宋体"/>
          <w:sz w:val="24"/>
          <w:szCs w:val="24"/>
        </w:rPr>
        <w:t>-133,004,104.71</w:t>
      </w:r>
      <w:r>
        <w:rPr>
          <w:rFonts w:ascii="宋体" w:hAnsi="宋体" w:hint="eastAsia"/>
          <w:sz w:val="24"/>
          <w:szCs w:val="24"/>
        </w:rPr>
        <w:t>元，其中，留存收益的影响金额为</w:t>
      </w:r>
      <w:r>
        <w:rPr>
          <w:rFonts w:ascii="宋体" w:hAnsi="宋体"/>
          <w:sz w:val="24"/>
          <w:szCs w:val="24"/>
        </w:rPr>
        <w:t>474,642,910.27</w:t>
      </w:r>
      <w:r>
        <w:rPr>
          <w:rFonts w:ascii="宋体" w:hAnsi="宋体" w:hint="eastAsia"/>
          <w:sz w:val="24"/>
          <w:szCs w:val="24"/>
        </w:rPr>
        <w:t>元，其他综合收益的影响金额为</w:t>
      </w:r>
      <w:r>
        <w:rPr>
          <w:rFonts w:ascii="宋体" w:hAnsi="宋体"/>
          <w:sz w:val="24"/>
          <w:szCs w:val="24"/>
        </w:rPr>
        <w:t>-607,647,014.98</w:t>
      </w:r>
      <w:r>
        <w:rPr>
          <w:rFonts w:ascii="宋体" w:hAnsi="宋体" w:hint="eastAsia"/>
          <w:sz w:val="24"/>
          <w:szCs w:val="24"/>
        </w:rPr>
        <w:t>元。</w:t>
      </w:r>
    </w:p>
    <w:p w:rsidR="006D5885" w:rsidRDefault="006D5885">
      <w:pPr>
        <w:spacing w:before="0" w:after="0" w:line="360" w:lineRule="auto"/>
        <w:ind w:firstLineChars="200" w:firstLine="480"/>
        <w:rPr>
          <w:rFonts w:ascii="宋体"/>
          <w:sz w:val="24"/>
          <w:szCs w:val="24"/>
        </w:rPr>
      </w:pPr>
      <w:r>
        <w:rPr>
          <w:rFonts w:ascii="宋体" w:hAnsi="宋体" w:hint="eastAsia"/>
          <w:sz w:val="24"/>
          <w:szCs w:val="24"/>
        </w:rPr>
        <w:t>公司对广发证券持股比例</w:t>
      </w:r>
      <w:r>
        <w:rPr>
          <w:rFonts w:ascii="宋体" w:hAnsi="宋体"/>
          <w:sz w:val="24"/>
          <w:szCs w:val="24"/>
        </w:rPr>
        <w:t>10.33%</w:t>
      </w:r>
      <w:r>
        <w:rPr>
          <w:rFonts w:ascii="宋体" w:hAnsi="宋体" w:hint="eastAsia"/>
          <w:sz w:val="24"/>
          <w:szCs w:val="24"/>
        </w:rPr>
        <w:t>，在广发证券董事会中派有代表，对该公司有重大影响，对该公司的股权投资采用权益法核算，根据广发证券会计政策变更的影响，公司按持股比例对本期财务报表的期初数进行了相应的调整，具体影响情况为：合并报表归属于母公司股东权益期初数的影响为</w:t>
      </w:r>
      <w:r>
        <w:rPr>
          <w:rFonts w:ascii="宋体" w:hAnsi="宋体"/>
          <w:sz w:val="24"/>
          <w:szCs w:val="24"/>
        </w:rPr>
        <w:t>-13,746,302.44</w:t>
      </w:r>
      <w:r>
        <w:rPr>
          <w:rFonts w:ascii="宋体" w:hAnsi="宋体" w:hint="eastAsia"/>
          <w:sz w:val="24"/>
          <w:szCs w:val="24"/>
        </w:rPr>
        <w:t>元，其中，留存收益（未分配利润）的影响为</w:t>
      </w:r>
      <w:r>
        <w:rPr>
          <w:rFonts w:ascii="宋体" w:hAnsi="宋体"/>
          <w:sz w:val="24"/>
          <w:szCs w:val="24"/>
        </w:rPr>
        <w:t>49,055,516.00</w:t>
      </w:r>
      <w:r>
        <w:rPr>
          <w:rFonts w:ascii="宋体" w:hAnsi="宋体" w:hint="eastAsia"/>
          <w:sz w:val="24"/>
          <w:szCs w:val="24"/>
        </w:rPr>
        <w:t>元，其他综合收益的影响为</w:t>
      </w:r>
      <w:r>
        <w:rPr>
          <w:rFonts w:ascii="宋体" w:hAnsi="宋体"/>
          <w:sz w:val="24"/>
          <w:szCs w:val="24"/>
        </w:rPr>
        <w:t>-62,801,818.44</w:t>
      </w:r>
      <w:r>
        <w:rPr>
          <w:rFonts w:ascii="宋体" w:hAnsi="宋体" w:hint="eastAsia"/>
          <w:sz w:val="24"/>
          <w:szCs w:val="24"/>
        </w:rPr>
        <w:t>元；同时对总资产期初数的影响为</w:t>
      </w:r>
      <w:r>
        <w:rPr>
          <w:rFonts w:ascii="宋体" w:hAnsi="宋体"/>
          <w:sz w:val="24"/>
          <w:szCs w:val="24"/>
        </w:rPr>
        <w:t>-13,746,302.44</w:t>
      </w:r>
      <w:r>
        <w:rPr>
          <w:rFonts w:ascii="宋体" w:hAnsi="宋体" w:hint="eastAsia"/>
          <w:sz w:val="24"/>
          <w:szCs w:val="24"/>
        </w:rPr>
        <w:t>元，主要是长期股权投资期初数据影响为</w:t>
      </w:r>
      <w:r>
        <w:rPr>
          <w:rFonts w:cs="Times New Roman"/>
          <w:sz w:val="24"/>
          <w:szCs w:val="24"/>
        </w:rPr>
        <w:t>-</w:t>
      </w:r>
      <w:r>
        <w:rPr>
          <w:rFonts w:ascii="宋体" w:hAnsi="宋体"/>
          <w:sz w:val="24"/>
          <w:szCs w:val="24"/>
        </w:rPr>
        <w:t>13,746,302.44</w:t>
      </w:r>
      <w:r>
        <w:rPr>
          <w:rFonts w:ascii="宋体" w:hAnsi="宋体" w:hint="eastAsia"/>
          <w:sz w:val="24"/>
          <w:szCs w:val="24"/>
        </w:rPr>
        <w:t>元。母公司财务报表所有者权益期初数的影响为</w:t>
      </w:r>
      <w:r>
        <w:rPr>
          <w:rFonts w:ascii="宋体" w:hAnsi="宋体"/>
          <w:sz w:val="24"/>
          <w:szCs w:val="24"/>
        </w:rPr>
        <w:t>-11,985,314.14</w:t>
      </w:r>
      <w:r>
        <w:rPr>
          <w:rFonts w:ascii="宋体" w:hAnsi="宋体" w:hint="eastAsia"/>
          <w:sz w:val="24"/>
          <w:szCs w:val="24"/>
        </w:rPr>
        <w:t>元，其中，留存收益（未分配利润）的影响为</w:t>
      </w:r>
      <w:r>
        <w:rPr>
          <w:rFonts w:ascii="宋体" w:hAnsi="宋体"/>
          <w:sz w:val="24"/>
          <w:szCs w:val="24"/>
        </w:rPr>
        <w:t>42,771,194.09</w:t>
      </w:r>
      <w:r>
        <w:rPr>
          <w:rFonts w:ascii="宋体" w:hAnsi="宋体" w:hint="eastAsia"/>
          <w:sz w:val="24"/>
          <w:szCs w:val="24"/>
        </w:rPr>
        <w:t>元，其他综合收益的影响为</w:t>
      </w:r>
      <w:r>
        <w:rPr>
          <w:rFonts w:ascii="宋体" w:hAnsi="宋体"/>
          <w:sz w:val="24"/>
          <w:szCs w:val="24"/>
        </w:rPr>
        <w:t>-54,756,508.23</w:t>
      </w:r>
      <w:r>
        <w:rPr>
          <w:rFonts w:ascii="宋体" w:hAnsi="宋体" w:hint="eastAsia"/>
          <w:sz w:val="24"/>
          <w:szCs w:val="24"/>
        </w:rPr>
        <w:t>元；同时对总资产期初数的影响为</w:t>
      </w:r>
      <w:r>
        <w:rPr>
          <w:rFonts w:ascii="宋体" w:hAnsi="宋体"/>
          <w:sz w:val="24"/>
          <w:szCs w:val="24"/>
        </w:rPr>
        <w:t>-11,985,314.14</w:t>
      </w:r>
      <w:r>
        <w:rPr>
          <w:rFonts w:ascii="宋体" w:hAnsi="宋体" w:hint="eastAsia"/>
          <w:sz w:val="24"/>
          <w:szCs w:val="24"/>
        </w:rPr>
        <w:t>元，主要是长期股权投资期初数据影响为</w:t>
      </w:r>
      <w:r>
        <w:rPr>
          <w:rFonts w:ascii="宋体" w:hAnsi="宋体"/>
          <w:sz w:val="24"/>
          <w:szCs w:val="24"/>
        </w:rPr>
        <w:t>-11,985,314.14</w:t>
      </w:r>
      <w:r>
        <w:rPr>
          <w:rFonts w:ascii="宋体" w:hAnsi="宋体" w:hint="eastAsia"/>
          <w:sz w:val="24"/>
          <w:szCs w:val="24"/>
        </w:rPr>
        <w:t>元。</w:t>
      </w:r>
    </w:p>
    <w:p w:rsidR="006D5885" w:rsidRDefault="006D5885">
      <w:pPr>
        <w:spacing w:before="0" w:after="0" w:line="360" w:lineRule="auto"/>
        <w:ind w:firstLineChars="200" w:firstLine="480"/>
        <w:jc w:val="right"/>
        <w:rPr>
          <w:rFonts w:ascii="宋体"/>
          <w:sz w:val="24"/>
          <w:szCs w:val="24"/>
          <w:lang w:val="zh-CN"/>
        </w:rPr>
      </w:pPr>
      <w:r>
        <w:rPr>
          <w:rFonts w:ascii="宋体" w:hint="eastAsia"/>
          <w:sz w:val="24"/>
          <w:szCs w:val="24"/>
          <w:lang w:val="zh-CN"/>
        </w:rPr>
        <w:t>中山公用事业集团股份有限公司</w:t>
      </w:r>
    </w:p>
    <w:p w:rsidR="006D5885" w:rsidRDefault="006D5885">
      <w:pPr>
        <w:spacing w:before="0" w:after="0" w:line="360" w:lineRule="auto"/>
        <w:ind w:firstLineChars="3150" w:firstLine="7560"/>
        <w:rPr>
          <w:rFonts w:ascii="宋体"/>
          <w:sz w:val="24"/>
          <w:szCs w:val="24"/>
          <w:lang w:val="zh-CN"/>
        </w:rPr>
      </w:pPr>
      <w:r>
        <w:rPr>
          <w:rFonts w:ascii="宋体" w:hint="eastAsia"/>
          <w:sz w:val="24"/>
          <w:szCs w:val="24"/>
          <w:lang w:val="zh-CN"/>
        </w:rPr>
        <w:t>董事会</w:t>
      </w:r>
    </w:p>
    <w:p w:rsidR="006D5885" w:rsidRDefault="006D5885">
      <w:pPr>
        <w:ind w:firstLineChars="2750" w:firstLine="6600"/>
        <w:rPr>
          <w:rFonts w:ascii="宋体"/>
          <w:sz w:val="24"/>
          <w:szCs w:val="24"/>
        </w:rPr>
      </w:pPr>
      <w:r>
        <w:rPr>
          <w:rFonts w:ascii="宋体" w:hint="eastAsia"/>
          <w:sz w:val="24"/>
          <w:szCs w:val="24"/>
          <w:lang w:val="zh-CN"/>
        </w:rPr>
        <w:t>二〇一八年十月</w:t>
      </w:r>
      <w:r>
        <w:rPr>
          <w:rFonts w:ascii="宋体" w:hint="eastAsia"/>
          <w:sz w:val="24"/>
          <w:szCs w:val="24"/>
        </w:rPr>
        <w:t>二十五</w:t>
      </w:r>
      <w:r>
        <w:rPr>
          <w:rFonts w:ascii="宋体" w:hint="eastAsia"/>
          <w:sz w:val="24"/>
          <w:szCs w:val="24"/>
          <w:lang w:val="zh-CN"/>
        </w:rPr>
        <w:t>日</w:t>
      </w:r>
    </w:p>
    <w:sectPr w:rsidR="006D5885">
      <w:pgSz w:w="11906" w:h="16838"/>
      <w:pgMar w:top="1440" w:right="1134" w:bottom="1440"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6AE" w:rsidRDefault="005066AE">
      <w:pPr>
        <w:autoSpaceDE w:val="0"/>
        <w:autoSpaceDN w:val="0"/>
        <w:adjustRightInd w:val="0"/>
        <w:spacing w:before="0" w:after="0"/>
        <w:jc w:val="left"/>
        <w:rPr>
          <w:rFonts w:cs="Times New Roman"/>
          <w:kern w:val="0"/>
          <w:sz w:val="24"/>
          <w:szCs w:val="24"/>
        </w:rPr>
      </w:pPr>
      <w:r>
        <w:rPr>
          <w:rFonts w:cs="Times New Roman"/>
          <w:kern w:val="0"/>
          <w:sz w:val="24"/>
          <w:szCs w:val="24"/>
        </w:rPr>
        <w:separator/>
      </w:r>
    </w:p>
  </w:endnote>
  <w:endnote w:type="continuationSeparator" w:id="0">
    <w:p w:rsidR="005066AE" w:rsidRDefault="005066AE">
      <w:pPr>
        <w:autoSpaceDE w:val="0"/>
        <w:autoSpaceDN w:val="0"/>
        <w:adjustRightInd w:val="0"/>
        <w:spacing w:before="0" w:after="0"/>
        <w:jc w:val="left"/>
        <w:rPr>
          <w:rFonts w:cs="Times New Roman"/>
          <w:kern w:val="0"/>
          <w:sz w:val="24"/>
          <w:szCs w:val="24"/>
        </w:rPr>
      </w:pPr>
      <w:r>
        <w:rPr>
          <w:rFonts w:cs="Times New Roman"/>
          <w:kern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85" w:rsidRDefault="006D5885">
    <w:pPr>
      <w:pStyle w:val="a5"/>
      <w:rPr>
        <w:rFonts w:eastAsia="Times New Roman" w:cs="Times New Roman"/>
      </w:rPr>
    </w:pPr>
  </w:p>
  <w:p w:rsidR="006D5885" w:rsidRDefault="006D5885">
    <w:pPr>
      <w:pStyle w:val="a5"/>
      <w:rPr>
        <w:rFonts w:eastAsia="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85" w:rsidRDefault="006D5885">
    <w:pPr>
      <w:rPr>
        <w:rFonts w:eastAsia="Times New Roman" w:cs="Times New Roman"/>
      </w:rPr>
    </w:pPr>
    <w:r>
      <w:rPr>
        <w:rFonts w:cs="Times New Roman"/>
      </w:rPr>
      <w:fldChar w:fldCharType="begin"/>
    </w:r>
    <w:r>
      <w:rPr>
        <w:rFonts w:cs="Times New Roman"/>
      </w:rPr>
      <w:instrText xml:space="preserve"> PAGE </w:instrText>
    </w:r>
    <w:r>
      <w:rPr>
        <w:rFonts w:cs="Times New Roman"/>
      </w:rPr>
      <w:fldChar w:fldCharType="separate"/>
    </w:r>
    <w:r w:rsidR="00142A11">
      <w:rPr>
        <w:rFonts w:cs="Times New Roman"/>
        <w:noProof/>
      </w:rPr>
      <w:t>2</w:t>
    </w:r>
    <w:r>
      <w:rPr>
        <w:rFonts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6AE" w:rsidRDefault="005066AE">
      <w:pPr>
        <w:autoSpaceDE w:val="0"/>
        <w:autoSpaceDN w:val="0"/>
        <w:adjustRightInd w:val="0"/>
        <w:spacing w:before="0" w:after="0"/>
        <w:jc w:val="left"/>
        <w:rPr>
          <w:rFonts w:cs="Times New Roman"/>
          <w:kern w:val="0"/>
          <w:sz w:val="24"/>
          <w:szCs w:val="24"/>
        </w:rPr>
      </w:pPr>
      <w:r>
        <w:rPr>
          <w:rFonts w:cs="Times New Roman"/>
          <w:kern w:val="0"/>
          <w:sz w:val="24"/>
          <w:szCs w:val="24"/>
        </w:rPr>
        <w:separator/>
      </w:r>
    </w:p>
  </w:footnote>
  <w:footnote w:type="continuationSeparator" w:id="0">
    <w:p w:rsidR="005066AE" w:rsidRDefault="005066AE">
      <w:pPr>
        <w:autoSpaceDE w:val="0"/>
        <w:autoSpaceDN w:val="0"/>
        <w:adjustRightInd w:val="0"/>
        <w:spacing w:before="0" w:after="0"/>
        <w:jc w:val="left"/>
        <w:rPr>
          <w:rFonts w:cs="Times New Roman"/>
          <w:kern w:val="0"/>
          <w:sz w:val="24"/>
          <w:szCs w:val="24"/>
        </w:rPr>
      </w:pPr>
      <w:r>
        <w:rPr>
          <w:rFonts w:cs="Times New Roman"/>
          <w:kern w:val="0"/>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85" w:rsidRDefault="006D5885">
    <w:pPr>
      <w:pStyle w:val="a4"/>
      <w:rPr>
        <w:rFonts w:eastAsia="Times New Roman" w:cs="Times New Roman"/>
      </w:rPr>
    </w:pPr>
    <w:r>
      <w:rPr>
        <w:rFonts w:hint="eastAsia"/>
      </w:rPr>
      <w:t>中山公用事业集团股份有限公司</w:t>
    </w:r>
    <w:r>
      <w:rPr>
        <w:rFonts w:cs="Times New Roman"/>
      </w:rPr>
      <w:t>2018</w:t>
    </w:r>
    <w:r>
      <w:rPr>
        <w:rFonts w:hint="eastAsia"/>
      </w:rPr>
      <w:t>年第三季度报告正文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85" w:rsidRDefault="006D5885">
    <w:pPr>
      <w:pBdr>
        <w:bottom w:val="single" w:sz="4" w:space="0" w:color="auto"/>
      </w:pBdr>
      <w:jc w:val="right"/>
      <w:rPr>
        <w:rFonts w:eastAsia="Times New Roman" w:cs="Times New Roman"/>
      </w:rPr>
    </w:pPr>
    <w:r>
      <w:rPr>
        <w:rFonts w:hint="eastAsia"/>
      </w:rPr>
      <w:t>中山公用事业集团股份有限公司</w:t>
    </w:r>
    <w:r>
      <w:rPr>
        <w:rFonts w:cs="Times New Roman"/>
      </w:rPr>
      <w:t>2018</w:t>
    </w:r>
    <w:r>
      <w:rPr>
        <w:rFonts w:hint="eastAsia"/>
      </w:rPr>
      <w:t>年第三季度报告正文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3CDBA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53067014"/>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D56B428"/>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2B92ED2C"/>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3F6C8F5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F0B280D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DB6EBA6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0FB4A84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C74067A0"/>
    <w:lvl w:ilvl="0">
      <w:start w:val="1"/>
      <w:numFmt w:val="decimal"/>
      <w:lvlText w:val="%1."/>
      <w:lvlJc w:val="left"/>
      <w:pPr>
        <w:tabs>
          <w:tab w:val="num" w:pos="360"/>
        </w:tabs>
        <w:ind w:left="360" w:hangingChars="200" w:hanging="360"/>
      </w:pPr>
    </w:lvl>
  </w:abstractNum>
  <w:abstractNum w:abstractNumId="9">
    <w:nsid w:val="FFFFFF89"/>
    <w:multiLevelType w:val="singleLevel"/>
    <w:tmpl w:val="D65AB974"/>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71"/>
    <w:rsid w:val="00142A11"/>
    <w:rsid w:val="003A7471"/>
    <w:rsid w:val="004B2706"/>
    <w:rsid w:val="005066AE"/>
    <w:rsid w:val="006D5885"/>
    <w:rsid w:val="008800DD"/>
    <w:rsid w:val="008C64EB"/>
    <w:rsid w:val="00EE7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0" w:defUnhideWhenUsed="0" w:defQFormat="1"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header" w:unhideWhenUsed="1" w:qFormat="0"/>
    <w:lsdException w:name="footer" w:unhideWhenUsed="1" w:qFormat="0"/>
    <w:lsdException w:name="caption" w:semiHidden="1" w:unhideWhenUsed="1"/>
    <w:lsdException w:name="Default Paragraph Font" w:unhideWhenUsed="1" w:qFormat="0"/>
    <w:lsdException w:name="HTML Top of Form" w:semiHidden="1" w:unhideWhenUsed="1" w:qFormat="0"/>
    <w:lsdException w:name="HTML Bottom of Form" w:semiHidden="1" w:unhideWhenUsed="1" w:qFormat="0"/>
    <w:lsdException w:name="Normal Table"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Placeholder Text" w:semiHidden="1" w:unhideWhenUsed="1" w:qFormat="0"/>
    <w:lsdException w:name="Revision"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pPr>
      <w:widowControl w:val="0"/>
      <w:spacing w:before="40" w:after="40"/>
      <w:jc w:val="both"/>
    </w:pPr>
    <w:rPr>
      <w:rFonts w:cs="宋体"/>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basedOn w:val="a0"/>
    <w:link w:val="a3"/>
    <w:uiPriority w:val="10"/>
    <w:unhideWhenUsed/>
    <w:locked/>
    <w:rPr>
      <w:rFonts w:ascii="Cambria" w:cs="Cambria"/>
      <w:b/>
      <w:bCs/>
      <w:sz w:val="32"/>
      <w:szCs w:val="32"/>
    </w:rPr>
  </w:style>
  <w:style w:type="character" w:customStyle="1" w:styleId="Char1">
    <w:name w:val="页脚 Char1"/>
    <w:basedOn w:val="a0"/>
    <w:uiPriority w:val="99"/>
    <w:unhideWhenUsed/>
    <w:rPr>
      <w:rFonts w:ascii="宋体" w:cs="宋体"/>
      <w:sz w:val="18"/>
      <w:szCs w:val="18"/>
    </w:rPr>
  </w:style>
  <w:style w:type="character" w:customStyle="1" w:styleId="Char0">
    <w:name w:val="页眉 Char"/>
    <w:basedOn w:val="a0"/>
    <w:link w:val="a4"/>
    <w:uiPriority w:val="99"/>
    <w:unhideWhenUsed/>
    <w:locked/>
    <w:rPr>
      <w:rFonts w:ascii="宋体" w:cs="宋体"/>
      <w:sz w:val="18"/>
      <w:szCs w:val="18"/>
    </w:rPr>
  </w:style>
  <w:style w:type="character" w:customStyle="1" w:styleId="Char10">
    <w:name w:val="标题 Char1"/>
    <w:basedOn w:val="a0"/>
    <w:uiPriority w:val="10"/>
    <w:unhideWhenUsed/>
    <w:rPr>
      <w:rFonts w:ascii="Cambria" w:cs="Cambria"/>
      <w:b/>
      <w:bCs/>
      <w:sz w:val="32"/>
      <w:szCs w:val="32"/>
    </w:rPr>
  </w:style>
  <w:style w:type="character" w:customStyle="1" w:styleId="Char2">
    <w:name w:val="页脚 Char"/>
    <w:basedOn w:val="a0"/>
    <w:link w:val="a5"/>
    <w:uiPriority w:val="99"/>
    <w:unhideWhenUsed/>
    <w:locked/>
    <w:rPr>
      <w:rFonts w:ascii="宋体" w:cs="宋体"/>
      <w:sz w:val="18"/>
      <w:szCs w:val="18"/>
    </w:rPr>
  </w:style>
  <w:style w:type="character" w:customStyle="1" w:styleId="Char11">
    <w:name w:val="页眉 Char1"/>
    <w:basedOn w:val="a0"/>
    <w:uiPriority w:val="99"/>
    <w:unhideWhenUsed/>
    <w:rPr>
      <w:rFonts w:ascii="宋体" w:cs="宋体"/>
      <w:sz w:val="18"/>
      <w:szCs w:val="18"/>
    </w:rPr>
  </w:style>
  <w:style w:type="paragraph" w:styleId="a5">
    <w:name w:val="footer"/>
    <w:basedOn w:val="a"/>
    <w:link w:val="Char2"/>
    <w:uiPriority w:val="99"/>
    <w:unhideWhenUsed/>
    <w:pPr>
      <w:tabs>
        <w:tab w:val="center" w:pos="4153"/>
        <w:tab w:val="right" w:pos="8306"/>
      </w:tabs>
      <w:snapToGrid w:val="0"/>
      <w:spacing w:before="0" w:after="0"/>
      <w:jc w:val="right"/>
    </w:pPr>
  </w:style>
  <w:style w:type="character" w:customStyle="1" w:styleId="Char20">
    <w:name w:val="页脚 Char2"/>
    <w:basedOn w:val="a0"/>
    <w:uiPriority w:val="99"/>
    <w:semiHidden/>
    <w:rPr>
      <w:rFonts w:cs="宋体"/>
      <w:sz w:val="18"/>
      <w:szCs w:val="18"/>
    </w:rPr>
  </w:style>
  <w:style w:type="character" w:customStyle="1" w:styleId="Char21">
    <w:name w:val="页脚 Char21"/>
    <w:basedOn w:val="a0"/>
    <w:uiPriority w:val="99"/>
    <w:semiHidden/>
    <w:rPr>
      <w:rFonts w:cs="宋体"/>
      <w:sz w:val="18"/>
      <w:szCs w:val="18"/>
    </w:rPr>
  </w:style>
  <w:style w:type="paragraph" w:customStyle="1" w:styleId="Chapter">
    <w:name w:val="Chapter"/>
    <w:next w:val="a"/>
    <w:uiPriority w:val="99"/>
    <w:unhideWhenUsed/>
    <w:pPr>
      <w:keepNext/>
      <w:keepLines/>
      <w:widowControl w:val="0"/>
      <w:spacing w:before="300" w:after="300" w:line="241" w:lineRule="auto"/>
      <w:jc w:val="both"/>
    </w:pPr>
    <w:rPr>
      <w:rFonts w:cs="宋体"/>
      <w:b/>
      <w:bCs/>
      <w:kern w:val="28"/>
      <w:sz w:val="24"/>
      <w:szCs w:val="24"/>
    </w:rPr>
  </w:style>
  <w:style w:type="paragraph" w:customStyle="1" w:styleId="Section">
    <w:name w:val="Section"/>
    <w:next w:val="a"/>
    <w:uiPriority w:val="99"/>
    <w:unhideWhenUsed/>
    <w:pPr>
      <w:keepNext/>
      <w:keepLines/>
      <w:widowControl w:val="0"/>
      <w:spacing w:before="300" w:after="300" w:line="241" w:lineRule="auto"/>
      <w:jc w:val="both"/>
    </w:pPr>
    <w:rPr>
      <w:rFonts w:cs="宋体"/>
      <w:b/>
      <w:bCs/>
      <w:kern w:val="28"/>
    </w:rPr>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22">
    <w:name w:val="标题 Char2"/>
    <w:basedOn w:val="a0"/>
    <w:uiPriority w:val="10"/>
    <w:rPr>
      <w:rFonts w:asciiTheme="majorHAnsi" w:hAnsiTheme="majorHAnsi" w:cstheme="majorBidi"/>
      <w:b/>
      <w:bCs/>
      <w:sz w:val="32"/>
      <w:szCs w:val="32"/>
    </w:rPr>
  </w:style>
  <w:style w:type="character" w:customStyle="1" w:styleId="Char210">
    <w:name w:val="标题 Char21"/>
    <w:basedOn w:val="a0"/>
    <w:uiPriority w:val="10"/>
    <w:rPr>
      <w:rFonts w:asciiTheme="majorHAnsi" w:hAnsiTheme="majorHAnsi" w:cs="Times New Roman"/>
      <w:b/>
      <w:bCs/>
      <w:sz w:val="32"/>
      <w:szCs w:val="32"/>
    </w:rPr>
  </w:style>
  <w:style w:type="paragraph" w:styleId="a4">
    <w:name w:val="header"/>
    <w:basedOn w:val="a"/>
    <w:link w:val="Char0"/>
    <w:uiPriority w:val="99"/>
    <w:unhideWhenUsed/>
    <w:pPr>
      <w:pBdr>
        <w:bottom w:val="single" w:sz="6" w:space="1" w:color="auto"/>
      </w:pBdr>
      <w:tabs>
        <w:tab w:val="center" w:pos="4153"/>
        <w:tab w:val="right" w:pos="8306"/>
      </w:tabs>
      <w:snapToGrid w:val="0"/>
      <w:spacing w:before="0" w:after="0"/>
      <w:jc w:val="right"/>
    </w:pPr>
  </w:style>
  <w:style w:type="character" w:customStyle="1" w:styleId="Char23">
    <w:name w:val="页眉 Char2"/>
    <w:basedOn w:val="a0"/>
    <w:uiPriority w:val="99"/>
    <w:semiHidden/>
    <w:rPr>
      <w:rFonts w:cs="宋体"/>
      <w:sz w:val="18"/>
      <w:szCs w:val="18"/>
    </w:rPr>
  </w:style>
  <w:style w:type="character" w:customStyle="1" w:styleId="Char211">
    <w:name w:val="页眉 Char21"/>
    <w:basedOn w:val="a0"/>
    <w:uiPriority w:val="99"/>
    <w:semiHidden/>
    <w:rPr>
      <w:rFonts w:cs="宋体"/>
      <w:sz w:val="18"/>
      <w:szCs w:val="18"/>
    </w:rPr>
  </w:style>
  <w:style w:type="paragraph" w:styleId="a6">
    <w:name w:val="Balloon Text"/>
    <w:basedOn w:val="a"/>
    <w:link w:val="Char3"/>
    <w:uiPriority w:val="99"/>
    <w:qFormat/>
    <w:rsid w:val="008C64EB"/>
    <w:pPr>
      <w:spacing w:before="0" w:after="0"/>
    </w:pPr>
  </w:style>
  <w:style w:type="character" w:customStyle="1" w:styleId="Char3">
    <w:name w:val="批注框文本 Char"/>
    <w:basedOn w:val="a0"/>
    <w:link w:val="a6"/>
    <w:uiPriority w:val="99"/>
    <w:rsid w:val="008C64EB"/>
    <w:rPr>
      <w:rFonts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0" w:defUnhideWhenUsed="0" w:defQFormat="1"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header" w:unhideWhenUsed="1" w:qFormat="0"/>
    <w:lsdException w:name="footer" w:unhideWhenUsed="1" w:qFormat="0"/>
    <w:lsdException w:name="caption" w:semiHidden="1" w:unhideWhenUsed="1"/>
    <w:lsdException w:name="Default Paragraph Font" w:unhideWhenUsed="1" w:qFormat="0"/>
    <w:lsdException w:name="HTML Top of Form" w:semiHidden="1" w:unhideWhenUsed="1" w:qFormat="0"/>
    <w:lsdException w:name="HTML Bottom of Form" w:semiHidden="1" w:unhideWhenUsed="1" w:qFormat="0"/>
    <w:lsdException w:name="Normal Table"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Placeholder Text" w:semiHidden="1" w:unhideWhenUsed="1" w:qFormat="0"/>
    <w:lsdException w:name="Revision"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pPr>
      <w:widowControl w:val="0"/>
      <w:spacing w:before="40" w:after="40"/>
      <w:jc w:val="both"/>
    </w:pPr>
    <w:rPr>
      <w:rFonts w:cs="宋体"/>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basedOn w:val="a0"/>
    <w:link w:val="a3"/>
    <w:uiPriority w:val="10"/>
    <w:unhideWhenUsed/>
    <w:locked/>
    <w:rPr>
      <w:rFonts w:ascii="Cambria" w:cs="Cambria"/>
      <w:b/>
      <w:bCs/>
      <w:sz w:val="32"/>
      <w:szCs w:val="32"/>
    </w:rPr>
  </w:style>
  <w:style w:type="character" w:customStyle="1" w:styleId="Char1">
    <w:name w:val="页脚 Char1"/>
    <w:basedOn w:val="a0"/>
    <w:uiPriority w:val="99"/>
    <w:unhideWhenUsed/>
    <w:rPr>
      <w:rFonts w:ascii="宋体" w:cs="宋体"/>
      <w:sz w:val="18"/>
      <w:szCs w:val="18"/>
    </w:rPr>
  </w:style>
  <w:style w:type="character" w:customStyle="1" w:styleId="Char0">
    <w:name w:val="页眉 Char"/>
    <w:basedOn w:val="a0"/>
    <w:link w:val="a4"/>
    <w:uiPriority w:val="99"/>
    <w:unhideWhenUsed/>
    <w:locked/>
    <w:rPr>
      <w:rFonts w:ascii="宋体" w:cs="宋体"/>
      <w:sz w:val="18"/>
      <w:szCs w:val="18"/>
    </w:rPr>
  </w:style>
  <w:style w:type="character" w:customStyle="1" w:styleId="Char10">
    <w:name w:val="标题 Char1"/>
    <w:basedOn w:val="a0"/>
    <w:uiPriority w:val="10"/>
    <w:unhideWhenUsed/>
    <w:rPr>
      <w:rFonts w:ascii="Cambria" w:cs="Cambria"/>
      <w:b/>
      <w:bCs/>
      <w:sz w:val="32"/>
      <w:szCs w:val="32"/>
    </w:rPr>
  </w:style>
  <w:style w:type="character" w:customStyle="1" w:styleId="Char2">
    <w:name w:val="页脚 Char"/>
    <w:basedOn w:val="a0"/>
    <w:link w:val="a5"/>
    <w:uiPriority w:val="99"/>
    <w:unhideWhenUsed/>
    <w:locked/>
    <w:rPr>
      <w:rFonts w:ascii="宋体" w:cs="宋体"/>
      <w:sz w:val="18"/>
      <w:szCs w:val="18"/>
    </w:rPr>
  </w:style>
  <w:style w:type="character" w:customStyle="1" w:styleId="Char11">
    <w:name w:val="页眉 Char1"/>
    <w:basedOn w:val="a0"/>
    <w:uiPriority w:val="99"/>
    <w:unhideWhenUsed/>
    <w:rPr>
      <w:rFonts w:ascii="宋体" w:cs="宋体"/>
      <w:sz w:val="18"/>
      <w:szCs w:val="18"/>
    </w:rPr>
  </w:style>
  <w:style w:type="paragraph" w:styleId="a5">
    <w:name w:val="footer"/>
    <w:basedOn w:val="a"/>
    <w:link w:val="Char2"/>
    <w:uiPriority w:val="99"/>
    <w:unhideWhenUsed/>
    <w:pPr>
      <w:tabs>
        <w:tab w:val="center" w:pos="4153"/>
        <w:tab w:val="right" w:pos="8306"/>
      </w:tabs>
      <w:snapToGrid w:val="0"/>
      <w:spacing w:before="0" w:after="0"/>
      <w:jc w:val="right"/>
    </w:pPr>
  </w:style>
  <w:style w:type="character" w:customStyle="1" w:styleId="Char20">
    <w:name w:val="页脚 Char2"/>
    <w:basedOn w:val="a0"/>
    <w:uiPriority w:val="99"/>
    <w:semiHidden/>
    <w:rPr>
      <w:rFonts w:cs="宋体"/>
      <w:sz w:val="18"/>
      <w:szCs w:val="18"/>
    </w:rPr>
  </w:style>
  <w:style w:type="character" w:customStyle="1" w:styleId="Char21">
    <w:name w:val="页脚 Char21"/>
    <w:basedOn w:val="a0"/>
    <w:uiPriority w:val="99"/>
    <w:semiHidden/>
    <w:rPr>
      <w:rFonts w:cs="宋体"/>
      <w:sz w:val="18"/>
      <w:szCs w:val="18"/>
    </w:rPr>
  </w:style>
  <w:style w:type="paragraph" w:customStyle="1" w:styleId="Chapter">
    <w:name w:val="Chapter"/>
    <w:next w:val="a"/>
    <w:uiPriority w:val="99"/>
    <w:unhideWhenUsed/>
    <w:pPr>
      <w:keepNext/>
      <w:keepLines/>
      <w:widowControl w:val="0"/>
      <w:spacing w:before="300" w:after="300" w:line="241" w:lineRule="auto"/>
      <w:jc w:val="both"/>
    </w:pPr>
    <w:rPr>
      <w:rFonts w:cs="宋体"/>
      <w:b/>
      <w:bCs/>
      <w:kern w:val="28"/>
      <w:sz w:val="24"/>
      <w:szCs w:val="24"/>
    </w:rPr>
  </w:style>
  <w:style w:type="paragraph" w:customStyle="1" w:styleId="Section">
    <w:name w:val="Section"/>
    <w:next w:val="a"/>
    <w:uiPriority w:val="99"/>
    <w:unhideWhenUsed/>
    <w:pPr>
      <w:keepNext/>
      <w:keepLines/>
      <w:widowControl w:val="0"/>
      <w:spacing w:before="300" w:after="300" w:line="241" w:lineRule="auto"/>
      <w:jc w:val="both"/>
    </w:pPr>
    <w:rPr>
      <w:rFonts w:cs="宋体"/>
      <w:b/>
      <w:bCs/>
      <w:kern w:val="28"/>
    </w:rPr>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22">
    <w:name w:val="标题 Char2"/>
    <w:basedOn w:val="a0"/>
    <w:uiPriority w:val="10"/>
    <w:rPr>
      <w:rFonts w:asciiTheme="majorHAnsi" w:hAnsiTheme="majorHAnsi" w:cstheme="majorBidi"/>
      <w:b/>
      <w:bCs/>
      <w:sz w:val="32"/>
      <w:szCs w:val="32"/>
    </w:rPr>
  </w:style>
  <w:style w:type="character" w:customStyle="1" w:styleId="Char210">
    <w:name w:val="标题 Char21"/>
    <w:basedOn w:val="a0"/>
    <w:uiPriority w:val="10"/>
    <w:rPr>
      <w:rFonts w:asciiTheme="majorHAnsi" w:hAnsiTheme="majorHAnsi" w:cs="Times New Roman"/>
      <w:b/>
      <w:bCs/>
      <w:sz w:val="32"/>
      <w:szCs w:val="32"/>
    </w:rPr>
  </w:style>
  <w:style w:type="paragraph" w:styleId="a4">
    <w:name w:val="header"/>
    <w:basedOn w:val="a"/>
    <w:link w:val="Char0"/>
    <w:uiPriority w:val="99"/>
    <w:unhideWhenUsed/>
    <w:pPr>
      <w:pBdr>
        <w:bottom w:val="single" w:sz="6" w:space="1" w:color="auto"/>
      </w:pBdr>
      <w:tabs>
        <w:tab w:val="center" w:pos="4153"/>
        <w:tab w:val="right" w:pos="8306"/>
      </w:tabs>
      <w:snapToGrid w:val="0"/>
      <w:spacing w:before="0" w:after="0"/>
      <w:jc w:val="right"/>
    </w:pPr>
  </w:style>
  <w:style w:type="character" w:customStyle="1" w:styleId="Char23">
    <w:name w:val="页眉 Char2"/>
    <w:basedOn w:val="a0"/>
    <w:uiPriority w:val="99"/>
    <w:semiHidden/>
    <w:rPr>
      <w:rFonts w:cs="宋体"/>
      <w:sz w:val="18"/>
      <w:szCs w:val="18"/>
    </w:rPr>
  </w:style>
  <w:style w:type="character" w:customStyle="1" w:styleId="Char211">
    <w:name w:val="页眉 Char21"/>
    <w:basedOn w:val="a0"/>
    <w:uiPriority w:val="99"/>
    <w:semiHidden/>
    <w:rPr>
      <w:rFonts w:cs="宋体"/>
      <w:sz w:val="18"/>
      <w:szCs w:val="18"/>
    </w:rPr>
  </w:style>
  <w:style w:type="paragraph" w:styleId="a6">
    <w:name w:val="Balloon Text"/>
    <w:basedOn w:val="a"/>
    <w:link w:val="Char3"/>
    <w:uiPriority w:val="99"/>
    <w:qFormat/>
    <w:rsid w:val="008C64EB"/>
    <w:pPr>
      <w:spacing w:before="0" w:after="0"/>
    </w:pPr>
  </w:style>
  <w:style w:type="character" w:customStyle="1" w:styleId="Char3">
    <w:name w:val="批注框文本 Char"/>
    <w:basedOn w:val="a0"/>
    <w:link w:val="a6"/>
    <w:uiPriority w:val="99"/>
    <w:rsid w:val="008C64EB"/>
    <w:rPr>
      <w:rFonts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DFF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2267</Words>
  <Characters>12925</Characters>
  <Application>Microsoft Office Word</Application>
  <DocSecurity>0</DocSecurity>
  <Lines>107</Lines>
  <Paragraphs>30</Paragraphs>
  <ScaleCrop>false</ScaleCrop>
  <Company>Microsoft</Company>
  <LinksUpToDate>false</LinksUpToDate>
  <CharactersWithSpaces>15162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严世亮</cp:lastModifiedBy>
  <cp:revision>2</cp:revision>
  <dcterms:created xsi:type="dcterms:W3CDTF">2018-10-29T02:21:00Z</dcterms:created>
  <dcterms:modified xsi:type="dcterms:W3CDTF">2018-10-29T02:21:00Z</dcterms:modified>
</cp:coreProperties>
</file>