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00"/>
        <w:rPr>
          <w:rFonts w:hint="default" w:eastAsia="宋体" w:cs="Times New Roman"/>
          <w:b/>
          <w:bCs/>
          <w:sz w:val="21"/>
          <w:szCs w:val="21"/>
          <w:highlight w:val="yellow"/>
          <w:lang w:val="en-US" w:eastAsia="zh-CN"/>
        </w:rPr>
      </w:pPr>
      <w:r>
        <w:rPr>
          <w:rFonts w:hint="eastAsia" w:ascii="宋体" w:hAnsi="宋体"/>
          <w:b/>
          <w:bCs/>
          <w:sz w:val="21"/>
          <w:szCs w:val="21"/>
        </w:rPr>
        <w:t>证券代码：</w:t>
      </w:r>
      <w:r>
        <w:rPr>
          <w:rFonts w:ascii="宋体" w:hAnsi="宋体"/>
          <w:b/>
          <w:bCs/>
          <w:sz w:val="21"/>
          <w:szCs w:val="21"/>
        </w:rPr>
        <w:t xml:space="preserve">000685                   </w:t>
      </w:r>
      <w:r>
        <w:rPr>
          <w:rFonts w:hint="eastAsia" w:ascii="宋体" w:hAnsi="宋体"/>
          <w:b/>
          <w:bCs/>
          <w:sz w:val="21"/>
          <w:szCs w:val="21"/>
        </w:rPr>
        <w:t>证券简称：中山公用</w:t>
      </w:r>
      <w:r>
        <w:rPr>
          <w:rFonts w:ascii="宋体" w:hAnsi="宋体"/>
          <w:b/>
          <w:bCs/>
          <w:sz w:val="21"/>
          <w:szCs w:val="21"/>
        </w:rPr>
        <w:t xml:space="preserve">                  </w:t>
      </w:r>
      <w:r>
        <w:rPr>
          <w:rFonts w:hint="eastAsia" w:ascii="宋体" w:hAnsi="宋体"/>
          <w:b/>
          <w:bCs/>
          <w:sz w:val="21"/>
          <w:szCs w:val="21"/>
        </w:rPr>
        <w:t>公告编号：</w:t>
      </w:r>
      <w:r>
        <w:rPr>
          <w:rFonts w:ascii="宋体" w:hAnsi="宋体"/>
          <w:b/>
          <w:bCs/>
          <w:sz w:val="21"/>
          <w:szCs w:val="21"/>
        </w:rPr>
        <w:t>201</w:t>
      </w:r>
      <w:r>
        <w:rPr>
          <w:rFonts w:hint="eastAsia" w:ascii="宋体" w:hAnsi="宋体"/>
          <w:b/>
          <w:bCs/>
          <w:sz w:val="21"/>
          <w:szCs w:val="21"/>
          <w:lang w:val="en-US" w:eastAsia="zh-CN"/>
        </w:rPr>
        <w:t>9</w:t>
      </w:r>
      <w:r>
        <w:rPr>
          <w:rFonts w:ascii="宋体" w:hAnsi="宋体"/>
          <w:b/>
          <w:bCs/>
          <w:sz w:val="21"/>
          <w:szCs w:val="21"/>
        </w:rPr>
        <w:t>-</w:t>
      </w:r>
      <w:r>
        <w:rPr>
          <w:rFonts w:hint="eastAsia" w:ascii="宋体" w:hAnsi="宋体"/>
          <w:b/>
          <w:bCs/>
          <w:sz w:val="21"/>
          <w:szCs w:val="21"/>
          <w:lang w:val="en-US" w:eastAsia="zh-CN"/>
        </w:rPr>
        <w:t>087</w:t>
      </w:r>
    </w:p>
    <w:p>
      <w:pPr>
        <w:spacing w:before="120" w:beforeLines="50" w:after="0" w:line="360" w:lineRule="auto"/>
        <w:jc w:val="center"/>
        <w:rPr>
          <w:rFonts w:eastAsia="Times New Roman" w:cs="Times New Roman"/>
          <w:kern w:val="0"/>
          <w:sz w:val="24"/>
          <w:szCs w:val="24"/>
        </w:rPr>
      </w:pPr>
    </w:p>
    <w:p>
      <w:pPr>
        <w:spacing w:before="0" w:after="0" w:line="360" w:lineRule="auto"/>
        <w:jc w:val="center"/>
        <w:rPr>
          <w:rFonts w:eastAsia="Times New Roman" w:cs="Times New Roman"/>
          <w:kern w:val="0"/>
          <w:sz w:val="24"/>
          <w:szCs w:val="24"/>
        </w:rPr>
      </w:pPr>
    </w:p>
    <w:p>
      <w:pPr>
        <w:spacing w:before="0" w:after="0" w:line="360" w:lineRule="auto"/>
        <w:jc w:val="center"/>
        <w:rPr>
          <w:rFonts w:ascii="宋体"/>
          <w:b/>
          <w:bCs/>
          <w:sz w:val="44"/>
          <w:szCs w:val="44"/>
        </w:rPr>
      </w:pPr>
      <w:r>
        <w:rPr>
          <w:rFonts w:eastAsia="Times New Roman" w:cs="Times New Roman"/>
          <w:kern w:val="0"/>
          <w:sz w:val="24"/>
          <w:szCs w:val="24"/>
        </w:rPr>
        <w:drawing>
          <wp:inline distT="0" distB="0" distL="0" distR="0">
            <wp:extent cx="6086475" cy="6191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086475" cy="619125"/>
                    </a:xfrm>
                    <a:prstGeom prst="rect">
                      <a:avLst/>
                    </a:prstGeom>
                    <a:noFill/>
                    <a:ln>
                      <a:noFill/>
                    </a:ln>
                  </pic:spPr>
                </pic:pic>
              </a:graphicData>
            </a:graphic>
          </wp:inline>
        </w:drawing>
      </w:r>
    </w:p>
    <w:p>
      <w:pPr>
        <w:spacing w:before="0" w:after="0" w:line="360" w:lineRule="auto"/>
        <w:rPr>
          <w:rFonts w:ascii="宋体"/>
          <w:b/>
          <w:bCs/>
          <w:sz w:val="24"/>
          <w:szCs w:val="24"/>
        </w:rPr>
      </w:pPr>
    </w:p>
    <w:p>
      <w:pPr>
        <w:spacing w:before="0" w:after="0" w:line="360" w:lineRule="auto"/>
        <w:rPr>
          <w:rFonts w:ascii="宋体"/>
          <w:b/>
          <w:bCs/>
          <w:sz w:val="24"/>
          <w:szCs w:val="24"/>
        </w:rPr>
      </w:pPr>
    </w:p>
    <w:p>
      <w:pPr>
        <w:spacing w:before="0" w:after="0" w:line="360" w:lineRule="auto"/>
        <w:rPr>
          <w:rFonts w:ascii="宋体"/>
          <w:b/>
          <w:bCs/>
          <w:sz w:val="24"/>
          <w:szCs w:val="24"/>
        </w:rPr>
      </w:pPr>
    </w:p>
    <w:p>
      <w:pPr>
        <w:spacing w:before="0" w:after="0" w:line="360" w:lineRule="auto"/>
        <w:rPr>
          <w:rFonts w:ascii="宋体"/>
          <w:b/>
          <w:bCs/>
          <w:sz w:val="24"/>
          <w:szCs w:val="24"/>
        </w:rPr>
      </w:pPr>
    </w:p>
    <w:p>
      <w:pPr>
        <w:spacing w:before="0" w:after="0" w:line="360" w:lineRule="auto"/>
        <w:rPr>
          <w:rFonts w:ascii="宋体"/>
          <w:b/>
          <w:bCs/>
          <w:sz w:val="24"/>
          <w:szCs w:val="24"/>
        </w:rPr>
      </w:pPr>
    </w:p>
    <w:p>
      <w:pPr>
        <w:spacing w:before="0" w:after="0" w:line="360" w:lineRule="auto"/>
        <w:rPr>
          <w:rFonts w:ascii="宋体"/>
          <w:b/>
          <w:bCs/>
          <w:sz w:val="24"/>
          <w:szCs w:val="24"/>
        </w:rPr>
      </w:pPr>
    </w:p>
    <w:p>
      <w:pPr>
        <w:spacing w:before="0" w:after="0" w:line="360" w:lineRule="auto"/>
        <w:jc w:val="center"/>
        <w:rPr>
          <w:rFonts w:ascii="宋体"/>
          <w:b/>
          <w:bCs/>
          <w:color w:val="1F497D"/>
          <w:sz w:val="84"/>
          <w:szCs w:val="84"/>
        </w:rPr>
      </w:pPr>
      <w:r>
        <w:rPr>
          <w:rFonts w:ascii="宋体" w:hAnsi="宋体"/>
          <w:b/>
          <w:bCs/>
          <w:color w:val="1F497D"/>
          <w:sz w:val="84"/>
          <w:szCs w:val="84"/>
        </w:rPr>
        <w:t>201</w:t>
      </w:r>
      <w:r>
        <w:rPr>
          <w:rFonts w:hint="eastAsia" w:ascii="宋体" w:hAnsi="宋体"/>
          <w:b/>
          <w:bCs/>
          <w:color w:val="1F497D"/>
          <w:sz w:val="84"/>
          <w:szCs w:val="84"/>
          <w:lang w:val="en-US" w:eastAsia="zh-CN"/>
        </w:rPr>
        <w:t>9</w:t>
      </w:r>
      <w:r>
        <w:rPr>
          <w:rFonts w:hint="eastAsia" w:ascii="宋体" w:hAnsi="宋体"/>
          <w:b/>
          <w:bCs/>
          <w:color w:val="1F497D"/>
          <w:sz w:val="84"/>
          <w:szCs w:val="84"/>
        </w:rPr>
        <w:t>年第三季度报告正文</w:t>
      </w:r>
    </w:p>
    <w:p>
      <w:pPr>
        <w:spacing w:before="6000" w:after="0"/>
        <w:jc w:val="center"/>
        <w:rPr>
          <w:rFonts w:ascii="宋体"/>
          <w:b/>
          <w:bCs/>
          <w:sz w:val="32"/>
          <w:szCs w:val="32"/>
        </w:rPr>
      </w:pPr>
      <w:r>
        <w:rPr>
          <w:rFonts w:ascii="宋体" w:hAnsi="宋体"/>
          <w:b/>
          <w:bCs/>
          <w:sz w:val="32"/>
          <w:szCs w:val="32"/>
        </w:rPr>
        <w:t>201</w:t>
      </w:r>
      <w:r>
        <w:rPr>
          <w:rFonts w:hint="eastAsia" w:ascii="宋体" w:hAnsi="宋体"/>
          <w:b/>
          <w:bCs/>
          <w:sz w:val="32"/>
          <w:szCs w:val="32"/>
          <w:lang w:val="en-US" w:eastAsia="zh-CN"/>
        </w:rPr>
        <w:t>9</w:t>
      </w:r>
      <w:r>
        <w:rPr>
          <w:rFonts w:hint="eastAsia" w:ascii="宋体" w:hAnsi="宋体"/>
          <w:b/>
          <w:bCs/>
          <w:sz w:val="32"/>
          <w:szCs w:val="32"/>
        </w:rPr>
        <w:t>年</w:t>
      </w:r>
      <w:r>
        <w:rPr>
          <w:rFonts w:ascii="宋体" w:hAnsi="宋体"/>
          <w:b/>
          <w:bCs/>
          <w:sz w:val="32"/>
          <w:szCs w:val="32"/>
        </w:rPr>
        <w:t>10</w:t>
      </w:r>
      <w:r>
        <w:rPr>
          <w:rFonts w:hint="eastAsia" w:ascii="宋体" w:hAnsi="宋体"/>
          <w:b/>
          <w:bCs/>
          <w:sz w:val="32"/>
          <w:szCs w:val="32"/>
        </w:rPr>
        <w:t>月</w:t>
      </w:r>
    </w:p>
    <w:p>
      <w:pPr>
        <w:spacing w:before="700" w:beforeLines="0" w:after="700" w:afterLines="0"/>
        <w:jc w:val="center"/>
        <w:rPr>
          <w:rFonts w:hint="eastAsia"/>
          <w:b/>
          <w:sz w:val="36"/>
        </w:rPr>
        <w:sectPr>
          <w:headerReference r:id="rId3" w:type="default"/>
          <w:footerReference r:id="rId4" w:type="default"/>
          <w:pgSz w:w="11906" w:h="16838"/>
          <w:pgMar w:top="1440" w:right="1134" w:bottom="1440" w:left="1134" w:header="720" w:footer="720" w:gutter="0"/>
          <w:lnNumType w:countBy="0" w:distance="360"/>
          <w:cols w:space="720" w:num="1"/>
        </w:sectPr>
      </w:pPr>
    </w:p>
    <w:p>
      <w:pPr>
        <w:pStyle w:val="4"/>
        <w:spacing w:beforeLines="-2147483648" w:afterLines="-2147483648"/>
        <w:outlineLvl w:val="0"/>
        <w:rPr>
          <w:rFonts w:hint="eastAsia" w:ascii="宋体" w:hAnsi="宋体" w:cs="宋体"/>
          <w:bCs/>
          <w:sz w:val="44"/>
          <w:szCs w:val="44"/>
          <w:lang w:bidi="ar-SA"/>
        </w:rPr>
      </w:pPr>
      <w:bookmarkStart w:id="0" w:name="_Toc300000084"/>
      <w:r>
        <w:rPr>
          <w:rFonts w:hint="eastAsia" w:ascii="宋体" w:hAnsi="宋体" w:cs="宋体"/>
          <w:bCs/>
          <w:sz w:val="44"/>
          <w:szCs w:val="44"/>
          <w:lang w:bidi="ar-SA"/>
        </w:rPr>
        <w:t>第一节 重要提示</w:t>
      </w:r>
      <w:bookmarkEnd w:id="0"/>
    </w:p>
    <w:p>
      <w:pPr>
        <w:spacing w:before="0" w:beforeLines="-2147483648" w:after="0" w:afterLines="-2147483648" w:line="360" w:lineRule="auto"/>
        <w:ind w:firstLine="480" w:firstLineChars="200"/>
        <w:rPr>
          <w:rFonts w:hint="eastAsia" w:ascii="宋体" w:hAnsi="宋体" w:cs="宋体"/>
          <w:sz w:val="24"/>
          <w:szCs w:val="24"/>
          <w:lang w:bidi="ar-SA"/>
        </w:rPr>
      </w:pPr>
      <w:r>
        <w:rPr>
          <w:rFonts w:hint="eastAsia" w:ascii="宋体" w:hAnsi="宋体" w:cs="宋体"/>
          <w:sz w:val="24"/>
          <w:szCs w:val="24"/>
          <w:lang w:bidi="ar-SA"/>
        </w:rPr>
        <w:t>公司董事会、监事会及董事、监事、高级管理人员保证季度报告内容的真实、准确、完整，不存在虚假记载、误导性陈述或者重大遗漏，并承担个别和连带的法律责任。</w:t>
      </w:r>
    </w:p>
    <w:p>
      <w:pPr>
        <w:spacing w:before="0" w:beforeLines="-2147483648" w:after="0" w:afterLines="-2147483648" w:line="360" w:lineRule="auto"/>
        <w:ind w:firstLine="480" w:firstLineChars="200"/>
        <w:rPr>
          <w:rFonts w:hint="eastAsia" w:ascii="宋体" w:hAnsi="宋体" w:cs="宋体"/>
          <w:sz w:val="24"/>
          <w:szCs w:val="24"/>
          <w:lang w:bidi="ar-SA"/>
        </w:rPr>
      </w:pPr>
      <w:r>
        <w:rPr>
          <w:rFonts w:hint="eastAsia" w:ascii="宋体" w:hAnsi="宋体" w:cs="宋体"/>
          <w:sz w:val="24"/>
          <w:szCs w:val="24"/>
          <w:lang w:bidi="ar-SA"/>
        </w:rPr>
        <w:t>所有董事均已出席了审议本次季报的董事会会议。</w:t>
      </w:r>
    </w:p>
    <w:p>
      <w:pPr>
        <w:spacing w:before="0" w:beforeLines="-2147483648" w:after="0" w:afterLines="-2147483648" w:line="360" w:lineRule="auto"/>
        <w:ind w:firstLine="480" w:firstLineChars="200"/>
        <w:rPr>
          <w:rFonts w:hint="eastAsia" w:ascii="宋体" w:hAnsi="宋体" w:cs="宋体"/>
          <w:sz w:val="24"/>
          <w:szCs w:val="24"/>
          <w:lang w:bidi="ar-SA"/>
        </w:rPr>
      </w:pPr>
      <w:r>
        <w:rPr>
          <w:rFonts w:hint="eastAsia" w:ascii="宋体" w:hAnsi="宋体" w:cs="宋体"/>
          <w:sz w:val="24"/>
          <w:szCs w:val="24"/>
          <w:lang w:bidi="ar-SA"/>
        </w:rPr>
        <w:t>公司负责人魏军锋、主管会计工作负责人徐化群及会计机构负责人刘晓可声明：保证季度报告中财务报表的真实、准确、完整。</w:t>
      </w:r>
    </w:p>
    <w:p>
      <w:pPr>
        <w:spacing w:before="0" w:beforeLines="-2147483648" w:after="0" w:afterLines="-2147483648" w:line="360" w:lineRule="auto"/>
        <w:ind w:firstLine="480" w:firstLineChars="200"/>
        <w:rPr>
          <w:rFonts w:hint="eastAsia" w:ascii="宋体" w:hAnsi="宋体" w:cs="宋体"/>
          <w:sz w:val="24"/>
          <w:szCs w:val="24"/>
          <w:lang w:bidi="ar-SA"/>
        </w:rPr>
        <w:sectPr>
          <w:pgSz w:w="11906" w:h="16838"/>
          <w:pgMar w:top="1440" w:right="1134" w:bottom="1440" w:left="1134" w:header="851" w:footer="992" w:gutter="0"/>
          <w:cols w:space="425" w:num="1"/>
          <w:docGrid w:type="lines" w:linePitch="312" w:charSpace="0"/>
        </w:sectPr>
      </w:pPr>
    </w:p>
    <w:p>
      <w:pPr>
        <w:pStyle w:val="4"/>
        <w:spacing w:beforeLines="-2147483648" w:afterLines="-2147483648"/>
        <w:outlineLvl w:val="0"/>
        <w:rPr>
          <w:rFonts w:hint="eastAsia" w:ascii="宋体" w:hAnsi="宋体" w:cs="宋体"/>
          <w:bCs/>
          <w:sz w:val="44"/>
          <w:szCs w:val="44"/>
          <w:lang w:bidi="ar-SA"/>
        </w:rPr>
      </w:pPr>
      <w:bookmarkStart w:id="1" w:name="_Toc300000085"/>
      <w:r>
        <w:rPr>
          <w:rFonts w:hint="eastAsia" w:ascii="宋体" w:hAnsi="宋体" w:cs="宋体"/>
          <w:bCs/>
          <w:sz w:val="44"/>
          <w:szCs w:val="44"/>
          <w:lang w:bidi="ar-SA"/>
        </w:rPr>
        <w:t>第二节 公司基本情况</w:t>
      </w:r>
      <w:bookmarkEnd w:id="1"/>
    </w:p>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一、主要会计数据和财务指标</w:t>
      </w:r>
    </w:p>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公司是否需追溯调整或重述以前年度会计数据</w:t>
      </w:r>
    </w:p>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 xml:space="preserve">√ 是 □ 否 </w:t>
      </w:r>
    </w:p>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追溯调整或重述原因</w:t>
      </w:r>
    </w:p>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同一控制下企业合并</w:t>
      </w:r>
    </w:p>
    <w:tbl>
      <w:tblPr>
        <w:tblStyle w:val="5"/>
        <w:tblW w:w="100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22"/>
        <w:gridCol w:w="2130"/>
        <w:gridCol w:w="2085"/>
        <w:gridCol w:w="2040"/>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21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w:t>
            </w:r>
          </w:p>
        </w:tc>
        <w:tc>
          <w:tcPr>
            <w:tcW w:w="412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上年度末</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本报告期末比上年度末增减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21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调整前</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调整后</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调整后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总资产（元）</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19,618,193,109.13</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17,143,654,004.32</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17,143,654,004.32</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eastAsia="宋体" w:cs="宋体"/>
                <w:sz w:val="21"/>
                <w:szCs w:val="21"/>
                <w:lang w:val="en-US" w:eastAsia="zh-CN"/>
              </w:rPr>
              <w:t>4</w:t>
            </w:r>
            <w:r>
              <w:rPr>
                <w:rFonts w:hint="eastAsia" w:ascii="宋体" w:hAnsi="宋体" w:eastAsia="宋体" w:cs="宋体"/>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归属于上市公司股东的净资产（元）</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12,947,326,078.75</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12,280,474,160.72</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12,280,474,160.72</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本报告期比上年同期增减</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年初至报告期末</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年初至报告期末比上年同期增减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营业收入（元）</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515,136,615.77</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3.20%</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1,375,284,826.81</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归属于上市公司股东的净利润（元）</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239,420,269.25</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25.84%</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738,115,068.35</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归属于上市公司股东的扣除非经常性损益的净利润（元）</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237,787,605.74</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29.56%</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729,622,853.37</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经营活动产生的现金流量净额（元）</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382,611,842.54</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基本每股收益（元/股）</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0.16</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25.84%</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rPr>
            </w:pPr>
            <w:r>
              <w:rPr>
                <w:rFonts w:ascii="宋体" w:hAnsi="宋体" w:cs="宋体"/>
                <w:sz w:val="21"/>
                <w:szCs w:val="21"/>
              </w:rPr>
              <w:t>0.50</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26.84%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稀释每股收益（元/股）</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0.16</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25.84%</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rPr>
            </w:pPr>
            <w:r>
              <w:rPr>
                <w:rFonts w:ascii="宋体" w:hAnsi="宋体" w:cs="宋体"/>
                <w:sz w:val="21"/>
                <w:szCs w:val="21"/>
              </w:rPr>
              <w:t>0.50</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26.84%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加权平均净资产收益率</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1.94%</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0.39%</w:t>
            </w:r>
          </w:p>
        </w:tc>
        <w:tc>
          <w:tcPr>
            <w:tcW w:w="20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5.97%</w:t>
            </w:r>
          </w:p>
        </w:tc>
        <w:tc>
          <w:tcPr>
            <w:tcW w:w="15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1.23%</w:t>
            </w:r>
          </w:p>
        </w:tc>
      </w:tr>
    </w:tbl>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非经常性损益项目和金额</w:t>
      </w:r>
    </w:p>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 xml:space="preserve">√ 适用 □ 不适用 </w:t>
      </w:r>
    </w:p>
    <w:p>
      <w:pPr>
        <w:spacing w:before="0" w:beforeLines="-2147483648" w:after="0" w:afterLines="-2147483648" w:line="360" w:lineRule="auto"/>
        <w:jc w:val="right"/>
        <w:rPr>
          <w:rFonts w:hint="eastAsia" w:cs="宋体"/>
          <w:sz w:val="24"/>
          <w:szCs w:val="24"/>
          <w:lang w:bidi="ar-SA"/>
        </w:rPr>
      </w:pPr>
      <w:r>
        <w:rPr>
          <w:rFonts w:hint="eastAsia" w:cs="宋体"/>
          <w:sz w:val="24"/>
          <w:szCs w:val="24"/>
          <w:lang w:bidi="ar-SA"/>
        </w:rPr>
        <w:t>单位：人民币元</w:t>
      </w:r>
    </w:p>
    <w:tbl>
      <w:tblPr>
        <w:tblStyle w:val="5"/>
        <w:tblW w:w="95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32"/>
        <w:gridCol w:w="2015"/>
        <w:gridCol w:w="2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0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年初至报告期期末金额</w:t>
            </w:r>
          </w:p>
        </w:tc>
        <w:tc>
          <w:tcPr>
            <w:tcW w:w="27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非流动资产处置损益（包括已计提资产减值准备的冲销部分）</w:t>
            </w:r>
          </w:p>
        </w:tc>
        <w:tc>
          <w:tcPr>
            <w:tcW w:w="20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-18,281.74</w:t>
            </w:r>
          </w:p>
        </w:tc>
        <w:tc>
          <w:tcPr>
            <w:tcW w:w="27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主要是资产处置损失。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计入当期损益的政府补助（与企业业务密切相关，按照国家统一标准定额或定量享受的政府补助除外）</w:t>
            </w:r>
          </w:p>
        </w:tc>
        <w:tc>
          <w:tcPr>
            <w:tcW w:w="20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9,642,136.19</w:t>
            </w:r>
          </w:p>
        </w:tc>
        <w:tc>
          <w:tcPr>
            <w:tcW w:w="27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主要是政府补助。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企业取得子公司、联营企业及合营企业的投资成本小于取得投资时应享有被投资单位可辨认净资产公允价值产生的收益</w:t>
            </w:r>
          </w:p>
        </w:tc>
        <w:tc>
          <w:tcPr>
            <w:tcW w:w="20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395.75</w:t>
            </w:r>
          </w:p>
        </w:tc>
        <w:tc>
          <w:tcPr>
            <w:tcW w:w="27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rPr>
              <w:t xml:space="preserve">收购博华水务投资（中山） </w:t>
            </w:r>
            <w:r>
              <w:rPr>
                <w:rFonts w:hint="eastAsia" w:ascii="宋体" w:hAnsi="宋体" w:cs="宋体"/>
                <w:sz w:val="21"/>
                <w:szCs w:val="21"/>
                <w:lang w:eastAsia="zh-CN"/>
              </w:rPr>
              <w:t>有限</w:t>
            </w:r>
            <w:r>
              <w:rPr>
                <w:rFonts w:hint="eastAsia" w:ascii="宋体" w:hAnsi="宋体" w:eastAsia="宋体" w:cs="宋体"/>
                <w:sz w:val="21"/>
                <w:szCs w:val="21"/>
              </w:rPr>
              <w:t>公司影响。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20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415,249.39</w:t>
            </w:r>
          </w:p>
        </w:tc>
        <w:tc>
          <w:tcPr>
            <w:tcW w:w="27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eastAsia="zh-CN"/>
              </w:rPr>
            </w:pPr>
            <w:r>
              <w:rPr>
                <w:rFonts w:hint="eastAsia" w:ascii="宋体" w:hAnsi="宋体" w:eastAsia="宋体" w:cs="宋体"/>
                <w:sz w:val="21"/>
                <w:szCs w:val="21"/>
              </w:rPr>
              <w:t>交易性金融资产处置收益</w:t>
            </w:r>
            <w:r>
              <w:rPr>
                <w:rFonts w:hint="eastAsia" w:ascii="宋体" w:hAnsi="宋体" w:cs="宋体"/>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除上述各项之外的其他营业外收入和支出</w:t>
            </w:r>
          </w:p>
        </w:tc>
        <w:tc>
          <w:tcPr>
            <w:tcW w:w="20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-4,076,805.84</w:t>
            </w:r>
          </w:p>
        </w:tc>
        <w:tc>
          <w:tcPr>
            <w:tcW w:w="27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其他符合非经常性损益定义的损益项目</w:t>
            </w:r>
          </w:p>
        </w:tc>
        <w:tc>
          <w:tcPr>
            <w:tcW w:w="20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6,165,111.99</w:t>
            </w:r>
          </w:p>
        </w:tc>
        <w:tc>
          <w:tcPr>
            <w:tcW w:w="27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主要是理财收益。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减：所得税影响额</w:t>
            </w:r>
          </w:p>
        </w:tc>
        <w:tc>
          <w:tcPr>
            <w:tcW w:w="20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2,938,924.03</w:t>
            </w:r>
          </w:p>
        </w:tc>
        <w:tc>
          <w:tcPr>
            <w:tcW w:w="27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少数股东权益影响额（税后）</w:t>
            </w:r>
          </w:p>
        </w:tc>
        <w:tc>
          <w:tcPr>
            <w:tcW w:w="20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696,666.73</w:t>
            </w:r>
          </w:p>
        </w:tc>
        <w:tc>
          <w:tcPr>
            <w:tcW w:w="27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0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8,492,214.98</w:t>
            </w:r>
          </w:p>
        </w:tc>
        <w:tc>
          <w:tcPr>
            <w:tcW w:w="27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对公司根据《公开发行证券的公司信息披露解释性公告第1号——非经常性损益》定义界定的非经常性损益项目，以及把《公开发行证券的公司信息披露解释性公告第1号——非经常性损益》中列举的非经常性损益项目界定为经常性损益的项目，应说明原因</w:t>
      </w:r>
    </w:p>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 xml:space="preserve">□ 适用 √ 不适用 </w:t>
      </w:r>
    </w:p>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公司报告期不存在将根据《公开发行证券的公司信息披露解释性公告第1号——非经常性损益》定义、列举的非经常性损益项目界定为经常性损益的项目的情形。</w:t>
      </w:r>
    </w:p>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二、报告期末股东总数及前十名股东持股情况表</w:t>
      </w:r>
    </w:p>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1、普通股股东和表决权恢复的优先股股东总数及前10名股东持股情况表</w:t>
      </w:r>
    </w:p>
    <w:p>
      <w:pPr>
        <w:spacing w:before="0" w:beforeLines="-2147483648" w:after="0" w:afterLines="-2147483648" w:line="360" w:lineRule="auto"/>
        <w:jc w:val="right"/>
        <w:rPr>
          <w:rFonts w:hint="eastAsia" w:cs="宋体"/>
          <w:sz w:val="24"/>
          <w:szCs w:val="24"/>
          <w:lang w:bidi="ar-SA"/>
        </w:rPr>
      </w:pPr>
      <w:r>
        <w:rPr>
          <w:rFonts w:hint="eastAsia" w:cs="宋体"/>
          <w:sz w:val="24"/>
          <w:szCs w:val="24"/>
          <w:lang w:bidi="ar-SA"/>
        </w:rPr>
        <w:t>单位：股</w:t>
      </w:r>
    </w:p>
    <w:tbl>
      <w:tblPr>
        <w:tblStyle w:val="5"/>
        <w:tblW w:w="95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53"/>
        <w:gridCol w:w="1350"/>
        <w:gridCol w:w="1197"/>
        <w:gridCol w:w="911"/>
        <w:gridCol w:w="682"/>
        <w:gridCol w:w="1470"/>
        <w:gridCol w:w="128"/>
        <w:gridCol w:w="1027"/>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报告期末普通股股东总数</w:t>
            </w:r>
          </w:p>
        </w:tc>
        <w:tc>
          <w:tcPr>
            <w:tcW w:w="210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40,938</w:t>
            </w:r>
          </w:p>
        </w:tc>
        <w:tc>
          <w:tcPr>
            <w:tcW w:w="228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报告期末表决权恢复的优先股股东总数</w:t>
            </w:r>
          </w:p>
        </w:tc>
        <w:tc>
          <w:tcPr>
            <w:tcW w:w="227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70"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前10名股东持股情况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股东名称</w:t>
            </w:r>
          </w:p>
        </w:tc>
        <w:tc>
          <w:tcPr>
            <w:tcW w:w="13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股东性质</w:t>
            </w:r>
          </w:p>
        </w:tc>
        <w:tc>
          <w:tcPr>
            <w:tcW w:w="11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持股比例</w:t>
            </w:r>
          </w:p>
        </w:tc>
        <w:tc>
          <w:tcPr>
            <w:tcW w:w="159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持股数量</w:t>
            </w:r>
          </w:p>
        </w:tc>
        <w:tc>
          <w:tcPr>
            <w:tcW w:w="14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持有有限售条件的股份数量</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质押或冻结情况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19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593"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股份状态</w:t>
            </w:r>
          </w:p>
        </w:tc>
        <w:tc>
          <w:tcPr>
            <w:tcW w:w="12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国有法人</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47.98%</w:t>
            </w:r>
          </w:p>
        </w:tc>
        <w:tc>
          <w:tcPr>
            <w:tcW w:w="15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707,747,250</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216,675,767</w:t>
            </w: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上海复星高科技（集团）有限公司</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12.35%</w:t>
            </w:r>
          </w:p>
        </w:tc>
        <w:tc>
          <w:tcPr>
            <w:tcW w:w="15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182,211,872</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中央汇金资产管理有限责任公司</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国有法人</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1.87%</w:t>
            </w:r>
          </w:p>
        </w:tc>
        <w:tc>
          <w:tcPr>
            <w:tcW w:w="15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27,511,100</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华夏人寿保险股份有限公司－万能保险产品</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1.58%</w:t>
            </w:r>
          </w:p>
        </w:tc>
        <w:tc>
          <w:tcPr>
            <w:tcW w:w="15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23,252,981</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中山市古镇自来水厂</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0.85%</w:t>
            </w:r>
          </w:p>
        </w:tc>
        <w:tc>
          <w:tcPr>
            <w:tcW w:w="15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12,603,546</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中山市三乡水务有限公司</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0.80%</w:t>
            </w:r>
          </w:p>
        </w:tc>
        <w:tc>
          <w:tcPr>
            <w:tcW w:w="15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11,797,866</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华夏人寿保险股份有限公司－分红－个险分红</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0.70%</w:t>
            </w:r>
          </w:p>
        </w:tc>
        <w:tc>
          <w:tcPr>
            <w:tcW w:w="15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10,379,335</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中国农业银行股份有限公司－中证500交易型开放式指数证券投资基金</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0.66%</w:t>
            </w:r>
          </w:p>
        </w:tc>
        <w:tc>
          <w:tcPr>
            <w:tcW w:w="15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9,790,688</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华夏人寿保险股份有限公司－自有资金</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0.62%</w:t>
            </w:r>
          </w:p>
        </w:tc>
        <w:tc>
          <w:tcPr>
            <w:tcW w:w="15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9,141,539</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中国证券金融股份有限公司</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0.59%</w:t>
            </w:r>
          </w:p>
        </w:tc>
        <w:tc>
          <w:tcPr>
            <w:tcW w:w="15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8,661,579</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70"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前10名无限售条件股东持股情况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股东名称</w:t>
            </w:r>
          </w:p>
        </w:tc>
        <w:tc>
          <w:tcPr>
            <w:tcW w:w="4260"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持有无限售条件股份数量</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股份种类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4260"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股份种类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4260"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491,071,483</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上海复星高科技（集团）有限公司</w:t>
            </w:r>
          </w:p>
        </w:tc>
        <w:tc>
          <w:tcPr>
            <w:tcW w:w="4260"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182,211,872</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中央汇金资产管理有限责任公司</w:t>
            </w:r>
          </w:p>
        </w:tc>
        <w:tc>
          <w:tcPr>
            <w:tcW w:w="4260"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27,511,100</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华夏人寿保险股份有限公司－万能保险产品</w:t>
            </w:r>
          </w:p>
        </w:tc>
        <w:tc>
          <w:tcPr>
            <w:tcW w:w="4260"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23,252,981</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中山市古镇自来水厂</w:t>
            </w:r>
          </w:p>
        </w:tc>
        <w:tc>
          <w:tcPr>
            <w:tcW w:w="4260"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12,603,546</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中山市三乡水务有限公司</w:t>
            </w:r>
          </w:p>
        </w:tc>
        <w:tc>
          <w:tcPr>
            <w:tcW w:w="4260"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11,797,866</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华夏人寿保险股份有限公司－分红－个险分红</w:t>
            </w:r>
          </w:p>
        </w:tc>
        <w:tc>
          <w:tcPr>
            <w:tcW w:w="4260"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10,379,335</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中国农业银行股份有限公司－中证500交易型开放式指数证券投资基金</w:t>
            </w:r>
          </w:p>
        </w:tc>
        <w:tc>
          <w:tcPr>
            <w:tcW w:w="4260"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9,790,688</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华夏人寿保险股份有限公司－自有资金</w:t>
            </w:r>
          </w:p>
        </w:tc>
        <w:tc>
          <w:tcPr>
            <w:tcW w:w="4260"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9,141,539</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中国证券金融股份有限公司</w:t>
            </w:r>
          </w:p>
        </w:tc>
        <w:tc>
          <w:tcPr>
            <w:tcW w:w="426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8,661,579</w:t>
            </w:r>
          </w:p>
        </w:tc>
        <w:tc>
          <w:tcPr>
            <w:tcW w:w="240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上述股东关联关系或一致行动的说明</w:t>
            </w:r>
          </w:p>
        </w:tc>
        <w:tc>
          <w:tcPr>
            <w:tcW w:w="6667"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前十名股东中持有有限售条件流通股股份的国有股东、法人股各股东之间无关联关系，亦无属于《上市公司股东持股变动信息披露管理办法》中规定的一致行动人情况。无限售条件流通股股东中，华夏人寿保险股份有限公司-万能保险产品、华夏人寿保险股份有限公司-分红-个险分红及华夏人寿保险股份有限公司-自有资金同属华夏人寿保险股份有限公司管理。其他各无限售条件流通股东之间，公司无法判断有无关联关系，也无法判断是否属于《上市公司股东持股变动信息披露管理办法》中规定的一致行动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0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前10名股东参与融资融券业务情况说明</w:t>
            </w:r>
          </w:p>
        </w:tc>
        <w:tc>
          <w:tcPr>
            <w:tcW w:w="6667"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w:t>
            </w:r>
          </w:p>
        </w:tc>
      </w:tr>
    </w:tbl>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公司前10名普通股股东、前10名无限售条件普通股股东在报告期内是否进行约定购回交易</w:t>
      </w:r>
    </w:p>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 xml:space="preserve">□ 是 √ 否 </w:t>
      </w:r>
    </w:p>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公司前10名普通股股东、前10名无限售条件普通股股东在报告期内未进行约定购回交易。</w:t>
      </w:r>
    </w:p>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2、优先股股东总数及前10名优先股股东持股情况表</w:t>
      </w:r>
    </w:p>
    <w:p>
      <w:pPr>
        <w:spacing w:before="0" w:beforeLines="-2147483648" w:after="0" w:afterLines="-2147483648" w:line="360" w:lineRule="auto"/>
        <w:rPr>
          <w:rFonts w:hint="eastAsia" w:ascii="宋体" w:hAnsi="宋体" w:cs="宋体"/>
          <w:sz w:val="24"/>
          <w:szCs w:val="24"/>
          <w:lang w:bidi="ar-SA"/>
        </w:rPr>
      </w:pPr>
      <w:r>
        <w:rPr>
          <w:rFonts w:hint="eastAsia" w:ascii="宋体" w:hAnsi="宋体" w:cs="宋体"/>
          <w:sz w:val="24"/>
          <w:szCs w:val="24"/>
          <w:lang w:bidi="ar-SA"/>
        </w:rPr>
        <w:t xml:space="preserve">□ 适用 √ 不适用 </w:t>
      </w:r>
    </w:p>
    <w:p>
      <w:pPr>
        <w:spacing w:before="0" w:beforeLines="-2147483648" w:after="0" w:afterLines="-2147483648" w:line="360" w:lineRule="auto"/>
        <w:rPr>
          <w:rFonts w:hint="eastAsia" w:ascii="宋体" w:hAnsi="宋体" w:cs="宋体"/>
          <w:sz w:val="24"/>
          <w:szCs w:val="24"/>
          <w:lang w:bidi="ar-SA"/>
        </w:rPr>
        <w:sectPr>
          <w:pgSz w:w="11906" w:h="16838"/>
          <w:pgMar w:top="1440" w:right="1134" w:bottom="1440" w:left="1134" w:header="851" w:footer="992" w:gutter="0"/>
          <w:cols w:space="425" w:num="1"/>
          <w:docGrid w:type="lines" w:linePitch="312" w:charSpace="0"/>
        </w:sectPr>
      </w:pPr>
    </w:p>
    <w:p>
      <w:pPr>
        <w:pStyle w:val="4"/>
        <w:spacing w:beforeLines="-2147483648" w:afterLines="-2147483648"/>
        <w:outlineLvl w:val="0"/>
        <w:rPr>
          <w:rFonts w:hint="eastAsia" w:cs="宋体"/>
          <w:bCs/>
          <w:sz w:val="44"/>
          <w:szCs w:val="44"/>
          <w:lang w:bidi="ar-SA"/>
        </w:rPr>
      </w:pPr>
      <w:bookmarkStart w:id="2" w:name="_Toc300000086"/>
      <w:r>
        <w:rPr>
          <w:rFonts w:hint="eastAsia" w:cs="宋体"/>
          <w:bCs/>
          <w:sz w:val="44"/>
          <w:szCs w:val="44"/>
          <w:lang w:bidi="ar-SA"/>
        </w:rPr>
        <w:t>第三节 重要事项</w:t>
      </w:r>
      <w:bookmarkEnd w:id="2"/>
    </w:p>
    <w:p>
      <w:pPr>
        <w:pStyle w:val="7"/>
        <w:spacing w:before="0" w:beforeLines="-2147483648" w:after="0" w:afterLines="-2147483648" w:line="360" w:lineRule="auto"/>
        <w:outlineLvl w:val="1"/>
        <w:rPr>
          <w:rFonts w:hint="eastAsia" w:ascii="宋体" w:hAnsi="宋体" w:cs="宋体"/>
          <w:bCs/>
          <w:szCs w:val="24"/>
          <w:lang w:bidi="ar-SA"/>
        </w:rPr>
      </w:pPr>
      <w:r>
        <w:rPr>
          <w:rFonts w:hint="eastAsia" w:ascii="宋体" w:hAnsi="宋体" w:cs="宋体"/>
          <w:bCs/>
          <w:szCs w:val="24"/>
          <w:lang w:bidi="ar-SA"/>
        </w:rPr>
        <w:t>一、报告期主要财务数据、财务指标发生变动的情况及原因</w:t>
      </w:r>
    </w:p>
    <w:p>
      <w:pPr>
        <w:autoSpaceDE w:val="0"/>
        <w:autoSpaceDN w:val="0"/>
        <w:adjustRightInd w:val="0"/>
        <w:spacing w:before="0" w:beforeLines="-2147483648" w:after="0" w:afterLines="-2147483648" w:line="360" w:lineRule="auto"/>
        <w:jc w:val="left"/>
        <w:rPr>
          <w:rFonts w:hint="eastAsia" w:ascii="宋体" w:hAnsi="宋体" w:cs="宋体"/>
          <w:sz w:val="24"/>
          <w:szCs w:val="24"/>
          <w:lang w:val="zh-CN" w:bidi="ar-SA"/>
        </w:rPr>
      </w:pPr>
      <w:r>
        <w:rPr>
          <w:rFonts w:hint="eastAsia" w:ascii="宋体" w:hAnsi="宋体" w:cs="宋体"/>
          <w:sz w:val="24"/>
          <w:szCs w:val="24"/>
          <w:lang w:val="zh-CN" w:bidi="ar-SA"/>
        </w:rPr>
        <w:t>√ 适用 □ 不适用</w:t>
      </w:r>
    </w:p>
    <w:p>
      <w:pPr>
        <w:autoSpaceDE w:val="0"/>
        <w:autoSpaceDN w:val="0"/>
        <w:adjustRightInd w:val="0"/>
        <w:spacing w:before="0" w:beforeLines="-2147483648" w:after="0" w:afterLines="-2147483648" w:line="360" w:lineRule="auto"/>
        <w:jc w:val="right"/>
        <w:rPr>
          <w:rFonts w:hint="eastAsia" w:ascii="宋体" w:hAnsi="宋体" w:cs="宋体"/>
          <w:sz w:val="24"/>
          <w:szCs w:val="24"/>
          <w:lang w:val="zh-CN" w:bidi="ar-SA"/>
        </w:rPr>
      </w:pPr>
      <w:r>
        <w:rPr>
          <w:rFonts w:hint="eastAsia" w:ascii="宋体" w:hAnsi="宋体" w:cs="宋体"/>
          <w:sz w:val="24"/>
          <w:szCs w:val="24"/>
          <w:lang w:val="zh-CN" w:bidi="ar-SA"/>
        </w:rPr>
        <w:t>单位：元</w:t>
      </w:r>
    </w:p>
    <w:tbl>
      <w:tblPr>
        <w:tblStyle w:val="5"/>
        <w:tblW w:w="10669" w:type="dxa"/>
        <w:jc w:val="center"/>
        <w:shd w:val="clear" w:color="auto" w:fill="auto"/>
        <w:tblLayout w:type="fixed"/>
        <w:tblCellMar>
          <w:top w:w="0" w:type="dxa"/>
          <w:left w:w="0" w:type="dxa"/>
          <w:bottom w:w="0" w:type="dxa"/>
          <w:right w:w="0" w:type="dxa"/>
        </w:tblCellMar>
      </w:tblPr>
      <w:tblGrid>
        <w:gridCol w:w="1523"/>
        <w:gridCol w:w="1856"/>
        <w:gridCol w:w="1935"/>
        <w:gridCol w:w="1740"/>
        <w:gridCol w:w="1170"/>
        <w:gridCol w:w="2445"/>
      </w:tblGrid>
      <w:tr>
        <w:tblPrEx>
          <w:shd w:val="clear" w:color="auto" w:fill="auto"/>
          <w:tblCellMar>
            <w:top w:w="0" w:type="dxa"/>
            <w:left w:w="0" w:type="dxa"/>
            <w:bottom w:w="0" w:type="dxa"/>
            <w:right w:w="0" w:type="dxa"/>
          </w:tblCellMar>
        </w:tblPrEx>
        <w:trPr>
          <w:trHeight w:val="562"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项目</w:t>
            </w:r>
          </w:p>
        </w:tc>
        <w:tc>
          <w:tcPr>
            <w:tcW w:w="185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 xml:space="preserve"> 期末余额 </w:t>
            </w:r>
          </w:p>
        </w:tc>
        <w:tc>
          <w:tcPr>
            <w:tcW w:w="193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 xml:space="preserve">期初余额 </w:t>
            </w:r>
          </w:p>
        </w:tc>
        <w:tc>
          <w:tcPr>
            <w:tcW w:w="174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 xml:space="preserve">增减变化 </w:t>
            </w:r>
          </w:p>
        </w:tc>
        <w:tc>
          <w:tcPr>
            <w:tcW w:w="11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增减变动率</w:t>
            </w:r>
          </w:p>
        </w:tc>
        <w:tc>
          <w:tcPr>
            <w:tcW w:w="24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 xml:space="preserve"> 变动原因说明</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交易性金融资产</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679,013,114.22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88,000,000.00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591,013,114.22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671.61%</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主要是购买理财产品增加所致。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应收账款</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390,397,835.44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224,466,094.31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165,931,741.13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73.92%</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rPr>
              <w:t>主要是应收水费等应收款项增加所致。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预付款项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42,973,311.86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7,281,478.46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35,691,833.40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490.17%</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主要是预付工程材料款增加所致。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长期应收款</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12,317,667.99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5,017,667.99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7,300,000.00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145.49%</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ascii="宋体" w:hAnsi="宋体" w:eastAsia="宋体" w:cs="宋体"/>
                <w:sz w:val="21"/>
                <w:szCs w:val="21"/>
              </w:rPr>
              <w:t>主要是4月合并通辽市桑德水务有限公司所致。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在建工程</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1,122,027,404.19</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640,322,495.72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481,704,908.47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75.23%</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主要是工程建设支出增加所致。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短期借款</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1,150,000,000.00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850,000,000.00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35.29%</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主要是向银行借款增加所致。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预收账款</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600,867,339.05</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373,875,015.85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226,992,323.20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60.71%</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rPr>
              <w:t>主要是供水安装工程预收款和二次供水管理维护费增加所致。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其他流动负债</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5,180,112.84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9,137,203.95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-3,957,091.11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-43.31%</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主要是待转销项税减少所致。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长期借款</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116,266,819.44</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25,000,000.00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91,266,819.44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365.07%</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w:t>
            </w:r>
            <w:r>
              <w:rPr>
                <w:rFonts w:hint="eastAsia" w:ascii="宋体" w:hAnsi="宋体" w:eastAsia="宋体" w:cs="宋体"/>
                <w:sz w:val="21"/>
                <w:szCs w:val="21"/>
              </w:rPr>
              <w:t>中山市天乙能源有限公司</w:t>
            </w:r>
            <w:r>
              <w:rPr>
                <w:rFonts w:hint="eastAsia" w:ascii="宋体" w:hAnsi="宋体" w:eastAsia="宋体" w:cs="宋体"/>
                <w:i w:val="0"/>
                <w:color w:val="000000"/>
                <w:kern w:val="0"/>
                <w:sz w:val="21"/>
                <w:szCs w:val="21"/>
                <w:u w:val="none"/>
                <w:lang w:val="en-US" w:eastAsia="zh-CN" w:bidi="ar"/>
              </w:rPr>
              <w:t>新增项目贷款所致。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应付债券</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1,993,333,333.36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996,111,111.12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997,222,222.24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100.11%</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主要是发行10亿元公司债所致。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长期应付款</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175,428,463.33</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18,769,286.64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156,659,176.69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834.66%</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rPr>
              <w:t>主要是4月合并通辽市桑德水务有限公司所致。</w:t>
            </w:r>
          </w:p>
        </w:tc>
      </w:tr>
      <w:tr>
        <w:tblPrEx>
          <w:tblCellMar>
            <w:top w:w="0" w:type="dxa"/>
            <w:left w:w="0" w:type="dxa"/>
            <w:bottom w:w="0" w:type="dxa"/>
            <w:right w:w="0" w:type="dxa"/>
          </w:tblCellMar>
        </w:tblPrEx>
        <w:trPr>
          <w:trHeight w:val="532"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项目</w:t>
            </w:r>
          </w:p>
        </w:tc>
        <w:tc>
          <w:tcPr>
            <w:tcW w:w="185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年初至本报告期末</w:t>
            </w:r>
          </w:p>
        </w:tc>
        <w:tc>
          <w:tcPr>
            <w:tcW w:w="193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上年同期</w:t>
            </w:r>
          </w:p>
        </w:tc>
        <w:tc>
          <w:tcPr>
            <w:tcW w:w="174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 xml:space="preserve">增减变化 </w:t>
            </w:r>
          </w:p>
        </w:tc>
        <w:tc>
          <w:tcPr>
            <w:tcW w:w="11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增减变动率</w:t>
            </w:r>
          </w:p>
        </w:tc>
        <w:tc>
          <w:tcPr>
            <w:tcW w:w="24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 xml:space="preserve"> 变动原因说明</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利息收入</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27,158,671.47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7,814,980.09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19,343,691.38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247.52%</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rPr>
              <w:t>主要是中山市公用小额贷款有限责任公司利息收入增加所致。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其他收益</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10,183,287.76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14,920,051.93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-4,736,764.17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-31.75%</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主要是收到政府补助减少所致。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信用减值损失</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-3,820,563.76</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-3,820,563.76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主要是执行新金融工具准则所致。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资产减值损失</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-2,102,431.76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2,102,431.76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主要是执行新金融工具准则所致。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资产处置收益</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-87,397.44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87,397.44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主要是未发生资产处置事项。</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营业外收入</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2,200,371.18</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1,491,777.38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708,593.80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47.50%</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主要是收到赔偿款增加所致。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少数股东损益</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15,965,433.81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27,862,145.79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-11,896,711.98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-42.70%</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rPr>
              <w:t>主要是控股公司中港客运联营有限公司利润下降所致。</w:t>
            </w:r>
          </w:p>
        </w:tc>
      </w:tr>
      <w:tr>
        <w:tblPrEx>
          <w:tblCellMar>
            <w:top w:w="0" w:type="dxa"/>
            <w:left w:w="0" w:type="dxa"/>
            <w:bottom w:w="0" w:type="dxa"/>
            <w:right w:w="0" w:type="dxa"/>
          </w:tblCellMar>
        </w:tblPrEx>
        <w:trPr>
          <w:trHeight w:val="11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投资活动产生的现金流量净额</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-1,432,419,993.60</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-554,032,262.76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-878,387,730.84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158.54%</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sz w:val="21"/>
                <w:szCs w:val="21"/>
              </w:rPr>
              <w:t>主要是理财净支出增加、在建工程支出增加所致及上年收到广发证券股份有限公司分红款所致</w:t>
            </w:r>
            <w:r>
              <w:rPr>
                <w:rFonts w:hint="eastAsia" w:ascii="宋体" w:hAnsi="宋体" w:eastAsia="宋体" w:cs="宋体"/>
                <w:sz w:val="21"/>
                <w:szCs w:val="21"/>
                <w:lang w:eastAsia="zh-CN"/>
              </w:rPr>
              <w:t>。</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筹资活动产生的现金流量净额</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1,037,218,231.92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320,892,422.30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716,325,809.62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223.23%</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主要是新增借款增加，偿还债务减少及股利分配减少所致。</w:t>
            </w:r>
          </w:p>
        </w:tc>
      </w:tr>
      <w:tr>
        <w:tblPrEx>
          <w:tblCellMar>
            <w:top w:w="0" w:type="dxa"/>
            <w:left w:w="0" w:type="dxa"/>
            <w:bottom w:w="0" w:type="dxa"/>
            <w:right w:w="0" w:type="dxa"/>
          </w:tblCellMar>
        </w:tblPrEx>
        <w:trPr>
          <w:trHeight w:val="90" w:hRule="atLeast"/>
          <w:jc w:val="center"/>
        </w:trPr>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现金及现金等价物净增加额</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-10,218,482.12</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144,358,628.34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-154,577,110.46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-107.08%</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   </w:t>
            </w:r>
          </w:p>
        </w:tc>
      </w:tr>
    </w:tbl>
    <w:p>
      <w:pPr>
        <w:pStyle w:val="7"/>
        <w:spacing w:before="0" w:beforeLines="0" w:after="0" w:afterLines="0" w:line="360" w:lineRule="auto"/>
        <w:outlineLvl w:val="1"/>
        <w:rPr>
          <w:rFonts w:hint="eastAsia" w:ascii="宋体" w:hAnsi="宋体" w:cs="Times New Roman"/>
          <w:sz w:val="24"/>
          <w:szCs w:val="22"/>
        </w:rPr>
      </w:pPr>
      <w:r>
        <w:rPr>
          <w:rFonts w:hint="eastAsia" w:ascii="宋体" w:hAnsi="宋体" w:cs="Times New Roman"/>
          <w:sz w:val="24"/>
          <w:szCs w:val="22"/>
        </w:rPr>
        <w:t>二、重要事项进展情况及其影响和解决方案的分析说明</w:t>
      </w:r>
      <w:bookmarkStart w:id="3" w:name="_GoBack"/>
      <w:bookmarkEnd w:id="3"/>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 xml:space="preserve">√ 适用 □ 不适用 </w:t>
      </w:r>
    </w:p>
    <w:tbl>
      <w:tblPr>
        <w:tblStyle w:val="5"/>
        <w:tblW w:w="95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75"/>
        <w:gridCol w:w="3005"/>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autoSpaceDE w:val="0"/>
              <w:autoSpaceDN w:val="0"/>
              <w:adjustRightInd w:val="0"/>
              <w:spacing w:before="0" w:beforeLines="0" w:after="0" w:afterLines="0"/>
              <w:jc w:val="left"/>
              <w:rPr>
                <w:rFonts w:hint="eastAsia" w:ascii="宋体" w:hAnsi="宋体" w:eastAsia="宋体" w:cs="宋体"/>
                <w:sz w:val="21"/>
                <w:szCs w:val="21"/>
              </w:rPr>
            </w:pPr>
            <w:r>
              <w:rPr>
                <w:rFonts w:hint="eastAsia" w:ascii="宋体"/>
                <w:color w:val="auto"/>
                <w:sz w:val="18"/>
                <w:lang w:val="zh-CN"/>
              </w:rPr>
              <w:t xml:space="preserve"> </w:t>
            </w:r>
            <w:r>
              <w:rPr>
                <w:rFonts w:hint="eastAsia" w:ascii="宋体" w:hAnsi="宋体" w:eastAsia="宋体" w:cs="宋体"/>
                <w:sz w:val="21"/>
                <w:szCs w:val="21"/>
              </w:rPr>
              <w:t>重要事项概述</w:t>
            </w:r>
          </w:p>
        </w:tc>
        <w:tc>
          <w:tcPr>
            <w:tcW w:w="30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披露日期</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临时报告披露网站查询索引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关于聘任中审众环会计师事务所（特殊普通合伙）为公司2019年年审会计师事务所的事宜</w:t>
            </w:r>
          </w:p>
        </w:tc>
        <w:tc>
          <w:tcPr>
            <w:tcW w:w="3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2019年07月20日</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巨潮资讯网（http://www.cninfo.com.cn）披露了《关于选聘2019年年审会计师事务所事项的公告》（公告编号：2019-060）。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p>
        </w:tc>
        <w:tc>
          <w:tcPr>
            <w:tcW w:w="3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2019年08月01日</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巨潮资讯网（http://www.cninfo.com.cn）披露了《关于聘任2019年年审会计师事务所的进展公告》（公告编号：2019-062）。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p>
        </w:tc>
        <w:tc>
          <w:tcPr>
            <w:tcW w:w="3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2019年08月17日</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巨潮资讯网（http://www.cninfo.com.cn）披露了《2019年第2次临时股东大会决议公告》（公告编号：2019-067）。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关于全资子公司受让通辽市桑德水务有限公司100%股权的相关事项</w:t>
            </w:r>
          </w:p>
        </w:tc>
        <w:tc>
          <w:tcPr>
            <w:tcW w:w="3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2019年09月18日</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巨潮资讯网（http://www.cninfo.com.cn）披露了《关于全资子公司受让兰溪桑德水务有限公司100%股权获得兰溪市住房和城乡建设局同意回复的公告》（公告编号：2019-075）。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p>
        </w:tc>
        <w:tc>
          <w:tcPr>
            <w:tcW w:w="3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2019年09月24日</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巨潮资讯网（http://www.cninfo.com.cn）披露了《关于兰溪桑德水务有限公司股权及收益权质押的公告》（公告编号：2019-079）。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p>
        </w:tc>
        <w:tc>
          <w:tcPr>
            <w:tcW w:w="3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2019年09月28日</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了《关于收购兰溪桑德水务有限公司100%股权完成股权交割及工商变更手续的公告》（公告编号：2019-080）、《关于签署担保合同的公告》（公告编号：2019-081）、《关于全资子公司签署质押合同的公告》（公告编号：2019-082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关于为参股公司怀宁润天水务环境科技有限公司提供融资增信担保</w:t>
            </w:r>
          </w:p>
        </w:tc>
        <w:tc>
          <w:tcPr>
            <w:tcW w:w="3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2019年09月24日</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巨潮资讯网（http://www.cninfo.com.cn）披露了《关于为参股公司怀宁润天水务环境科技有限公司提供融资增信担保的公告》（公告编号：2019-078）。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p>
        </w:tc>
        <w:tc>
          <w:tcPr>
            <w:tcW w:w="3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2019年09月28日</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巨潮资讯网（http://www.cninfo.com.cn）披露了《关于签署担保合同的公告》（公告编号：2019-081）。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7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关于中通环境治理有限公司投资设立两家子公司的事宜</w:t>
            </w:r>
          </w:p>
        </w:tc>
        <w:tc>
          <w:tcPr>
            <w:tcW w:w="3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2019年09月24日</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巨潮资讯网（http://www.cninfo.com.cn）披露了《关于中通环境治理有限公司投资设立两家子公司的公告》编号：2019-077）。</w:t>
            </w:r>
          </w:p>
        </w:tc>
      </w:tr>
    </w:tbl>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股份回购的实施进展情况</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 xml:space="preserve">□ 适用 √ 不适用 </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采用集中竞价方式减持回购股份的实施进展情况</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 xml:space="preserve">□ 适用 √ 不适用 </w:t>
      </w:r>
    </w:p>
    <w:p>
      <w:pPr>
        <w:pStyle w:val="7"/>
        <w:spacing w:before="0" w:beforeLines="0" w:after="0" w:afterLines="0" w:line="360" w:lineRule="auto"/>
        <w:outlineLvl w:val="1"/>
        <w:rPr>
          <w:rFonts w:hint="eastAsia" w:ascii="宋体" w:hAnsi="宋体" w:cs="Times New Roman"/>
          <w:sz w:val="24"/>
          <w:szCs w:val="22"/>
        </w:rPr>
      </w:pPr>
      <w:r>
        <w:rPr>
          <w:rFonts w:hint="eastAsia" w:ascii="宋体" w:hAnsi="宋体" w:cs="Times New Roman"/>
          <w:sz w:val="24"/>
          <w:szCs w:val="22"/>
        </w:rPr>
        <w:t>三、公司实际控制人、股东、关联方、收购人以及公司等承诺相关方在报告期内超期未履行完毕的承诺事项</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 xml:space="preserve">√ 适用 □ 不适用 </w:t>
      </w:r>
    </w:p>
    <w:tbl>
      <w:tblPr>
        <w:tblStyle w:val="5"/>
        <w:tblW w:w="98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3"/>
        <w:gridCol w:w="1125"/>
        <w:gridCol w:w="1247"/>
        <w:gridCol w:w="2638"/>
        <w:gridCol w:w="1155"/>
        <w:gridCol w:w="79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承诺事由</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承诺方</w:t>
            </w:r>
          </w:p>
        </w:tc>
        <w:tc>
          <w:tcPr>
            <w:tcW w:w="12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承诺类型</w:t>
            </w:r>
          </w:p>
        </w:tc>
        <w:tc>
          <w:tcPr>
            <w:tcW w:w="263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承诺内容</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承诺时间</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承诺期限</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履行情况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股改承诺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2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26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收购报告书或权益变动报告书中所作承诺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2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26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资产重组时所作承诺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中汇集团</w:t>
            </w:r>
          </w:p>
        </w:tc>
        <w:tc>
          <w:tcPr>
            <w:tcW w:w="12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5%以上股东承诺</w:t>
            </w:r>
          </w:p>
        </w:tc>
        <w:tc>
          <w:tcPr>
            <w:tcW w:w="26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中汇集团不从事、且中汇集团将通过法律程序确保中汇集团之其他全资、控股子企业均不从事任何在商业上与公用科技合并后经营的业务有直接竞争的业务。</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2007年11月08日</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长期</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履行中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中汇集团</w:t>
            </w:r>
          </w:p>
        </w:tc>
        <w:tc>
          <w:tcPr>
            <w:tcW w:w="12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5%以上股东承诺</w:t>
            </w:r>
          </w:p>
        </w:tc>
        <w:tc>
          <w:tcPr>
            <w:tcW w:w="26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在不与法律、法规相抵触的前提下，在权利所及范围内，中汇集团以及其他中汇集团之全资、控股子企业在与公用科技进行关联交易时将按公平、公开的市场原则进行，并履行法律、法规、规范性文件和公用科技公司章程、管理制度规定的程序，且不通过与公用科技之间的关联关系谋求特殊的利益，不会进行有损公用科技及其他股东利益的关联交易。</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2007年11月08日</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长期</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履行中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中汇集团</w:t>
            </w:r>
          </w:p>
        </w:tc>
        <w:tc>
          <w:tcPr>
            <w:tcW w:w="12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5%以上股东承诺</w:t>
            </w:r>
          </w:p>
        </w:tc>
        <w:tc>
          <w:tcPr>
            <w:tcW w:w="26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中汇集团承诺在成为公用科技的控股股东后，将按照法律、法规及公司章程依法行使股东权利，不利用关联股东身份影响公用科技的独立性，保持公用科技在资产、人员、财务、业务和机构等方面的独立性。</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2007年11月08日</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长期</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履行中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首次公开发行或再融资时所作承诺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6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股权激励承诺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中汇集团</w:t>
            </w:r>
          </w:p>
        </w:tc>
        <w:tc>
          <w:tcPr>
            <w:tcW w:w="12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5%以上股东承诺</w:t>
            </w:r>
          </w:p>
        </w:tc>
        <w:tc>
          <w:tcPr>
            <w:tcW w:w="26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为了增强流通股股东的持股信心，激励管理层的积极性，使管理层与公司股东的利益相统一，中汇集团同意公司在股权分置改革完成后按有关规定制订管理层股权激励计划。</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2006年01月04日</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长期</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履行中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其他对公司中小股东所作承诺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2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6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承诺是否按时履行</w:t>
            </w:r>
          </w:p>
        </w:tc>
        <w:tc>
          <w:tcPr>
            <w:tcW w:w="7845"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如承诺超期未履行完毕的，应当详细说明未完成履行的具体原因及下一步的工作计划</w:t>
            </w:r>
          </w:p>
        </w:tc>
        <w:tc>
          <w:tcPr>
            <w:tcW w:w="7845"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w:t>
            </w:r>
          </w:p>
        </w:tc>
      </w:tr>
    </w:tbl>
    <w:p>
      <w:pPr>
        <w:pStyle w:val="7"/>
        <w:spacing w:before="0" w:beforeLines="0" w:after="0" w:afterLines="0" w:line="360" w:lineRule="auto"/>
        <w:outlineLvl w:val="1"/>
        <w:rPr>
          <w:rFonts w:hint="eastAsia" w:ascii="宋体" w:hAnsi="宋体" w:cs="Times New Roman"/>
          <w:sz w:val="24"/>
          <w:szCs w:val="22"/>
        </w:rPr>
        <w:sectPr>
          <w:pgSz w:w="11906" w:h="16838"/>
          <w:pgMar w:top="1440" w:right="1134" w:bottom="1440" w:left="1134" w:header="851" w:footer="992" w:gutter="0"/>
          <w:cols w:space="425" w:num="1"/>
          <w:docGrid w:type="lines" w:linePitch="312" w:charSpace="0"/>
        </w:sectPr>
      </w:pPr>
    </w:p>
    <w:p>
      <w:pPr>
        <w:pStyle w:val="7"/>
        <w:spacing w:before="0" w:beforeLines="0" w:after="0" w:afterLines="0" w:line="360" w:lineRule="auto"/>
        <w:outlineLvl w:val="1"/>
        <w:rPr>
          <w:rFonts w:hint="eastAsia" w:ascii="宋体" w:hAnsi="宋体" w:cs="Times New Roman"/>
          <w:sz w:val="24"/>
          <w:szCs w:val="22"/>
        </w:rPr>
      </w:pPr>
      <w:r>
        <w:rPr>
          <w:rFonts w:hint="eastAsia" w:ascii="宋体" w:hAnsi="宋体" w:cs="Times New Roman"/>
          <w:sz w:val="24"/>
          <w:szCs w:val="22"/>
        </w:rPr>
        <w:t>四、证券投资情况</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 xml:space="preserve">√ 适用 □ 不适用 </w:t>
      </w:r>
    </w:p>
    <w:p>
      <w:pPr>
        <w:topLinePunct/>
        <w:spacing w:before="0" w:beforeLines="-2147483648" w:after="0" w:afterLines="-2147483648" w:line="360" w:lineRule="auto"/>
        <w:jc w:val="right"/>
        <w:rPr>
          <w:rFonts w:hint="eastAsia"/>
          <w:sz w:val="24"/>
          <w:szCs w:val="22"/>
          <w:lang w:bidi="ar-SA"/>
        </w:rPr>
      </w:pPr>
      <w:r>
        <w:rPr>
          <w:rFonts w:hint="eastAsia"/>
          <w:sz w:val="24"/>
          <w:szCs w:val="22"/>
          <w:lang w:bidi="ar-SA"/>
        </w:rPr>
        <w:t>单位：元</w:t>
      </w:r>
    </w:p>
    <w:tbl>
      <w:tblPr>
        <w:tblStyle w:val="5"/>
        <w:tblW w:w="145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5"/>
        <w:gridCol w:w="855"/>
        <w:gridCol w:w="1035"/>
        <w:gridCol w:w="1185"/>
        <w:gridCol w:w="1080"/>
        <w:gridCol w:w="615"/>
        <w:gridCol w:w="953"/>
        <w:gridCol w:w="660"/>
        <w:gridCol w:w="1281"/>
        <w:gridCol w:w="1284"/>
        <w:gridCol w:w="1335"/>
        <w:gridCol w:w="1177"/>
        <w:gridCol w:w="818"/>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证券</w:t>
            </w:r>
          </w:p>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品种</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证券</w:t>
            </w:r>
          </w:p>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代码</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证券简称</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最初</w:t>
            </w:r>
          </w:p>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投资成本</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会计计量模式</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期初账面价值</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本期公允价值变动损益</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计入权益的累计公允价值变动</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本期购买</w:t>
            </w:r>
          </w:p>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本期出售</w:t>
            </w:r>
          </w:p>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报告期损益</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期末账面价值</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会计核算科目</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300790</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宇瞳光学</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5,139.28</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eastAsia="宋体" w:cs="宋体"/>
                <w:sz w:val="18"/>
                <w:szCs w:val="18"/>
              </w:rPr>
              <w:t>7,974.94</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5,139.28</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eastAsia="宋体" w:cs="宋体"/>
                <w:sz w:val="18"/>
                <w:szCs w:val="18"/>
              </w:rPr>
              <w:t>7,974.94</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eastAsia="宋体" w:cs="宋体"/>
                <w:sz w:val="18"/>
                <w:szCs w:val="18"/>
              </w:rPr>
              <w:t>13,114.22</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002966</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苏州银行</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35,763.00</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35,763.00</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60,697.00</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23,452.84</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002958</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青农商行</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43,362.00</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43,362.00</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105,339.00</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58,347.73</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002948</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青岛银行</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23,748.08</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23,748.08</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39,194.84</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14,527.34</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300761</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立华股份</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17,052.35</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17,052.35</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41,314.91</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eastAsia="宋体" w:cs="宋体"/>
                <w:sz w:val="18"/>
                <w:szCs w:val="18"/>
              </w:rPr>
              <w:t>22,841.70</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300773</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拉卡拉</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15,541.76</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15,541.76</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31,844.73</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15,343.31</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300758</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七彩化学</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14,579.40</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14,579.40</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35,778.60</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19,958.10</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300765</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新诺威</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13,703.20</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13,703.20</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29,456.00</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14,826.67</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002945</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华林证券</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12,901.68</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12,901.68</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35,996.40</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21,746.07</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300755</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华致酒业</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12,491.76</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12,491.76</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21,215.36</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8,203.59</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2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期末持有的其他证券投资</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lang w:val="en-US" w:eastAsia="zh-CN"/>
              </w:rPr>
              <w:t>-</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lang w:val="en-US" w:eastAsia="zh-CN"/>
              </w:rPr>
              <w:t>-</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lang w:val="en-US" w:eastAsia="zh-CN"/>
              </w:rPr>
              <w:t>-</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2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合计</w:t>
            </w:r>
          </w:p>
        </w:tc>
        <w:tc>
          <w:tcPr>
            <w:tcW w:w="11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194,282.51</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7,974.94</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2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194,282.51</w:t>
            </w:r>
          </w:p>
        </w:tc>
        <w:tc>
          <w:tcPr>
            <w:tcW w:w="12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400,836.84</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207,222.29</w:t>
            </w:r>
          </w:p>
        </w:tc>
        <w:tc>
          <w:tcPr>
            <w:tcW w:w="1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eastAsia="宋体" w:cs="宋体"/>
                <w:sz w:val="18"/>
                <w:szCs w:val="18"/>
              </w:rPr>
              <w:t>13,114.22</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25"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证券投资审批董事会公告披露日期</w:t>
            </w:r>
          </w:p>
        </w:tc>
        <w:tc>
          <w:tcPr>
            <w:tcW w:w="11529" w:type="dxa"/>
            <w:gridSpan w:val="11"/>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2018年03月10日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2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证券投资审批股东会公告披露日期</w:t>
            </w:r>
          </w:p>
        </w:tc>
        <w:tc>
          <w:tcPr>
            <w:tcW w:w="11529" w:type="dxa"/>
            <w:gridSpan w:val="11"/>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无</w:t>
            </w:r>
          </w:p>
        </w:tc>
      </w:tr>
    </w:tbl>
    <w:p>
      <w:pPr>
        <w:pStyle w:val="7"/>
        <w:spacing w:before="0" w:beforeLines="0" w:after="0" w:afterLines="0" w:line="360" w:lineRule="auto"/>
        <w:outlineLvl w:val="1"/>
        <w:rPr>
          <w:rFonts w:hint="eastAsia" w:ascii="宋体" w:hAnsi="宋体" w:cs="Times New Roman"/>
          <w:sz w:val="24"/>
          <w:szCs w:val="22"/>
        </w:rPr>
      </w:pPr>
      <w:r>
        <w:rPr>
          <w:rFonts w:hint="eastAsia" w:ascii="宋体" w:hAnsi="宋体" w:cs="Times New Roman"/>
          <w:sz w:val="24"/>
          <w:szCs w:val="22"/>
        </w:rPr>
        <w:t>五、委托理财</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 xml:space="preserve">√ 适用 □ 不适用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right"/>
        <w:textAlignment w:val="auto"/>
        <w:rPr>
          <w:rFonts w:hint="eastAsia"/>
          <w:sz w:val="24"/>
          <w:szCs w:val="24"/>
        </w:rPr>
      </w:pPr>
      <w:r>
        <w:rPr>
          <w:rFonts w:hint="eastAsia"/>
          <w:sz w:val="24"/>
          <w:szCs w:val="24"/>
        </w:rPr>
        <w:t>单位：万元</w:t>
      </w:r>
    </w:p>
    <w:tbl>
      <w:tblPr>
        <w:tblStyle w:val="5"/>
        <w:tblW w:w="144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39"/>
        <w:gridCol w:w="2482"/>
        <w:gridCol w:w="3105"/>
        <w:gridCol w:w="2610"/>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3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具体类型</w:t>
            </w:r>
          </w:p>
        </w:tc>
        <w:tc>
          <w:tcPr>
            <w:tcW w:w="24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委托理财的资金来源</w:t>
            </w:r>
          </w:p>
        </w:tc>
        <w:tc>
          <w:tcPr>
            <w:tcW w:w="31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委托理财发生额</w:t>
            </w: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未到期余额</w:t>
            </w:r>
          </w:p>
        </w:tc>
        <w:tc>
          <w:tcPr>
            <w:tcW w:w="31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逾期未收回的金额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银行理财产品</w:t>
            </w:r>
          </w:p>
        </w:tc>
        <w:tc>
          <w:tcPr>
            <w:tcW w:w="24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闲置募集资金</w:t>
            </w:r>
          </w:p>
        </w:tc>
        <w:tc>
          <w:tcPr>
            <w:tcW w:w="31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38,000</w:t>
            </w: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31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银行理财产品</w:t>
            </w:r>
          </w:p>
        </w:tc>
        <w:tc>
          <w:tcPr>
            <w:tcW w:w="24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31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143,000</w:t>
            </w: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67,900</w:t>
            </w:r>
          </w:p>
        </w:tc>
        <w:tc>
          <w:tcPr>
            <w:tcW w:w="31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2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181,000</w:t>
            </w:r>
          </w:p>
        </w:tc>
        <w:tc>
          <w:tcPr>
            <w:tcW w:w="26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67,900</w:t>
            </w:r>
          </w:p>
        </w:tc>
        <w:tc>
          <w:tcPr>
            <w:tcW w:w="31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r>
    </w:tbl>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单项金额重大或安全性较低、流动性较差、不保本的高风险委托理财具体情况</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 xml:space="preserve">√ 适用 □ 不适用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right"/>
        <w:textAlignment w:val="auto"/>
        <w:rPr>
          <w:rFonts w:hint="eastAsia"/>
          <w:sz w:val="24"/>
          <w:szCs w:val="24"/>
        </w:rPr>
      </w:pPr>
      <w:r>
        <w:rPr>
          <w:rFonts w:hint="eastAsia"/>
          <w:sz w:val="24"/>
          <w:szCs w:val="24"/>
        </w:rPr>
        <w:t>单位：万元</w:t>
      </w:r>
    </w:p>
    <w:tbl>
      <w:tblPr>
        <w:tblStyle w:val="5"/>
        <w:tblW w:w="145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6"/>
        <w:gridCol w:w="765"/>
        <w:gridCol w:w="1020"/>
        <w:gridCol w:w="960"/>
        <w:gridCol w:w="795"/>
        <w:gridCol w:w="705"/>
        <w:gridCol w:w="810"/>
        <w:gridCol w:w="720"/>
        <w:gridCol w:w="690"/>
        <w:gridCol w:w="825"/>
        <w:gridCol w:w="1155"/>
        <w:gridCol w:w="1065"/>
        <w:gridCol w:w="945"/>
        <w:gridCol w:w="765"/>
        <w:gridCol w:w="843"/>
        <w:gridCol w:w="810"/>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受托机构名称（或受托人姓名）</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受托机构（或受托人）类型</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产品类型</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资金来源</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起始日期</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终止日期</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资金投向</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报酬确定方式</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参考年化收益率</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预期收益</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报告期实际损益金额</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报告期损益实际收回情况</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计提减值准备金额</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是否经过法定程序</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未来是否还有委托理财计划</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事项概述及相关查询索引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保本型理财产品</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2019年01月03日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2019年02月11日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保本浮动收益型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43.81</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43.81</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43.81</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保本型理财产品</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闲置募集资金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2019年01月03日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2019年04月03日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保本浮动收益型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210.82</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210.82</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210.82</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保本型理财产品</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闲置募集资金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2019年04月04日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2019年07月03日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保本浮动收益型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192.08</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192.08</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192.08</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中信银行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结构性存款</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2018年10月18日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2019年01月18日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68.56</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68.56</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68.56</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结构性存款</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2018年12月17日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2019年03月18日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20.94</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20.94</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20.94</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结构性存款</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2019年01月28日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2019年04月29日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52.36</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52.36</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52.36</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结构性存款</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2019年02月14日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2019年05月15日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4.15%</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15.35</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15.35</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15.35</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浦发银行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结构性存款</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2019年04月09日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2019年07月08日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3.96%</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29.29</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29.37</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29.37</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华兴银行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结构性存款</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2019年04月30日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2019年06月03日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11.18</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11.18</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11.18</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结构性存款</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2019年01月04日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2019年02月11日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4.06</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4.06</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4.06</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农商银行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保本浮动收益型</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2019年01月04日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2019年04月18日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256.44</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256.44</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256.44</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保本浮动收益型</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2019年04月19日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2019年07月18日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202.19</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202.19</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202.19</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工商银行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保本浮动收益型</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2019年01月15日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2019年05月31日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3.35%</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9.99</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9.99</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9.99</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保本浮动收益型</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2019年07月26日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2019年10月24日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4.15%</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255.82</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0.00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浦发银行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结构性存款</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2019年07月15日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2019年08月14日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6.17</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6.17</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6.17</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浦发银行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结构性存款</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2019年07月15日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2019年10月13日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0.00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工商银行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保本浮动收益型</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2019年08月08日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2019年12月30日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3.40%</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12.07</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0.00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保本浮动收益型</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2019年09月30日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2019年10月24日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3.81%</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0.00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广发银行</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保本浮动收益型</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闲置自有资金</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2019年09月30日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2019年10月24日</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固定收益类产品</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保本浮动型</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3.81%</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0.00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2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1,511.33</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1,123.32</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委托理财出现预期无法收回本金或存在其他可能导致减值的情形</w:t>
      </w:r>
    </w:p>
    <w:p>
      <w:pPr>
        <w:spacing w:before="0" w:beforeLines="0" w:after="0" w:afterLines="0" w:line="360" w:lineRule="auto"/>
        <w:rPr>
          <w:rFonts w:hint="eastAsia" w:ascii="宋体" w:hAnsi="宋体" w:cs="Times New Roman"/>
          <w:sz w:val="24"/>
          <w:szCs w:val="22"/>
        </w:rPr>
        <w:sectPr>
          <w:pgSz w:w="16838" w:h="11906" w:orient="landscape"/>
          <w:pgMar w:top="1134" w:right="1440" w:bottom="1134" w:left="1440" w:header="851" w:footer="992" w:gutter="0"/>
          <w:cols w:space="425" w:num="1"/>
          <w:docGrid w:type="lines" w:linePitch="312" w:charSpace="0"/>
        </w:sectPr>
      </w:pPr>
      <w:r>
        <w:rPr>
          <w:rFonts w:hint="eastAsia" w:ascii="宋体" w:hAnsi="宋体" w:cs="Times New Roman"/>
          <w:sz w:val="24"/>
          <w:szCs w:val="22"/>
        </w:rPr>
        <w:t>□ 适用 √ 不适用</w:t>
      </w:r>
    </w:p>
    <w:p>
      <w:pPr>
        <w:pStyle w:val="7"/>
        <w:spacing w:before="0" w:beforeLines="0" w:after="0" w:afterLines="0" w:line="360" w:lineRule="auto"/>
        <w:outlineLvl w:val="1"/>
        <w:rPr>
          <w:rFonts w:hint="eastAsia" w:ascii="宋体" w:hAnsi="宋体" w:cs="Times New Roman"/>
          <w:sz w:val="24"/>
          <w:szCs w:val="22"/>
        </w:rPr>
      </w:pPr>
      <w:r>
        <w:rPr>
          <w:rFonts w:hint="eastAsia" w:ascii="宋体" w:hAnsi="宋体" w:cs="Times New Roman"/>
          <w:sz w:val="24"/>
          <w:szCs w:val="22"/>
        </w:rPr>
        <w:t>六、衍生品投资情况</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 xml:space="preserve">□ 适用 √ 不适用 </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公司报告期不存在衍生品投资。</w:t>
      </w:r>
    </w:p>
    <w:p>
      <w:pPr>
        <w:pStyle w:val="7"/>
        <w:spacing w:before="0" w:beforeLines="0" w:after="0" w:afterLines="0" w:line="360" w:lineRule="auto"/>
        <w:outlineLvl w:val="1"/>
        <w:rPr>
          <w:rFonts w:hint="eastAsia" w:ascii="宋体" w:hAnsi="宋体" w:cs="Times New Roman"/>
          <w:sz w:val="24"/>
          <w:szCs w:val="22"/>
        </w:rPr>
      </w:pPr>
      <w:r>
        <w:rPr>
          <w:rFonts w:hint="eastAsia" w:ascii="宋体" w:hAnsi="宋体" w:cs="Times New Roman"/>
          <w:sz w:val="24"/>
          <w:szCs w:val="22"/>
        </w:rPr>
        <w:t>七、报告期内接待调研、沟通、采访等活动登记表</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 xml:space="preserve">√ 适用 □ 不适用 </w:t>
      </w:r>
    </w:p>
    <w:tbl>
      <w:tblPr>
        <w:tblStyle w:val="5"/>
        <w:tblW w:w="95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2177"/>
        <w:gridCol w:w="2177"/>
        <w:gridCol w:w="3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接待时间</w:t>
            </w:r>
          </w:p>
        </w:tc>
        <w:tc>
          <w:tcPr>
            <w:tcW w:w="21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接待方式</w:t>
            </w:r>
          </w:p>
        </w:tc>
        <w:tc>
          <w:tcPr>
            <w:tcW w:w="21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接待对象类型</w:t>
            </w:r>
          </w:p>
        </w:tc>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调研的基本情况索引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2019年06月05日</w:t>
            </w:r>
          </w:p>
        </w:tc>
        <w:tc>
          <w:tcPr>
            <w:tcW w:w="2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实地调研</w:t>
            </w:r>
          </w:p>
        </w:tc>
        <w:tc>
          <w:tcPr>
            <w:tcW w:w="2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机构</w:t>
            </w:r>
          </w:p>
        </w:tc>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具体内容详见巨潮资讯网（http://www.cninfo.com.cn/）调研信息专栏。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cs="宋体"/>
                <w:sz w:val="21"/>
                <w:szCs w:val="21"/>
                <w:lang w:val="en-US" w:eastAsia="zh-CN"/>
              </w:rPr>
              <w:t>2019年01月01日至</w:t>
            </w:r>
            <w:r>
              <w:rPr>
                <w:rFonts w:hint="eastAsia" w:ascii="宋体" w:hAnsi="宋体" w:eastAsia="宋体" w:cs="宋体"/>
                <w:sz w:val="21"/>
                <w:szCs w:val="21"/>
              </w:rPr>
              <w:t>2019年09月30日</w:t>
            </w:r>
          </w:p>
        </w:tc>
        <w:tc>
          <w:tcPr>
            <w:tcW w:w="2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电话沟通</w:t>
            </w:r>
          </w:p>
        </w:tc>
        <w:tc>
          <w:tcPr>
            <w:tcW w:w="2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30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bl>
    <w:p>
      <w:pPr>
        <w:pStyle w:val="7"/>
        <w:spacing w:before="0" w:beforeLines="0" w:after="0" w:afterLines="0" w:line="360" w:lineRule="auto"/>
        <w:outlineLvl w:val="1"/>
        <w:rPr>
          <w:rFonts w:hint="eastAsia" w:ascii="宋体" w:hAnsi="宋体" w:cs="Times New Roman"/>
          <w:sz w:val="24"/>
          <w:szCs w:val="22"/>
        </w:rPr>
      </w:pPr>
      <w:r>
        <w:rPr>
          <w:rFonts w:hint="eastAsia" w:ascii="宋体" w:hAnsi="宋体" w:cs="Times New Roman"/>
          <w:sz w:val="24"/>
          <w:szCs w:val="22"/>
        </w:rPr>
        <w:t>八、违规对外担保情况</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 xml:space="preserve">□ 适用 √ 不适用 </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公司报告期无违规对外担保情况。</w:t>
      </w:r>
    </w:p>
    <w:p>
      <w:pPr>
        <w:pStyle w:val="7"/>
        <w:spacing w:before="0" w:beforeLines="0" w:after="0" w:afterLines="0" w:line="360" w:lineRule="auto"/>
        <w:outlineLvl w:val="1"/>
        <w:rPr>
          <w:rFonts w:hint="eastAsia" w:ascii="宋体" w:hAnsi="宋体" w:cs="Times New Roman"/>
          <w:sz w:val="24"/>
          <w:szCs w:val="22"/>
        </w:rPr>
      </w:pPr>
      <w:r>
        <w:rPr>
          <w:rFonts w:hint="eastAsia" w:ascii="宋体" w:hAnsi="宋体" w:cs="Times New Roman"/>
          <w:sz w:val="24"/>
          <w:szCs w:val="22"/>
        </w:rPr>
        <w:t>九、控股股东及其关联方对上市公司的非经营性占用资金情况</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 xml:space="preserve">□ 适用 √ 不适用 </w:t>
      </w:r>
    </w:p>
    <w:p>
      <w:pPr>
        <w:spacing w:before="0" w:beforeLines="0" w:after="0" w:afterLines="0" w:line="360" w:lineRule="auto"/>
        <w:rPr>
          <w:rFonts w:hint="eastAsia" w:ascii="宋体" w:hAnsi="宋体" w:cs="Times New Roman"/>
          <w:sz w:val="24"/>
          <w:szCs w:val="22"/>
        </w:rPr>
      </w:pPr>
      <w:r>
        <w:rPr>
          <w:rFonts w:hint="eastAsia" w:ascii="宋体" w:hAnsi="宋体" w:cs="Times New Roman"/>
          <w:sz w:val="24"/>
          <w:szCs w:val="22"/>
        </w:rPr>
        <w:t>公司报告期不存在控股股东及其关联方对上市公司的非经营性占用资金。</w:t>
      </w:r>
    </w:p>
    <w:p>
      <w:pPr>
        <w:spacing w:beforeLines="0" w:afterLines="0"/>
        <w:jc w:val="left"/>
        <w:rPr>
          <w:rFonts w:hint="eastAsia"/>
          <w:sz w:val="1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sz w:val="18"/>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default"/>
                              <w:sz w:val="18"/>
                            </w:rPr>
                            <w:fldChar w:fldCharType="begin"/>
                          </w:r>
                          <w:r>
                            <w:rPr>
                              <w:rFonts w:hint="default"/>
                              <w:sz w:val="18"/>
                            </w:rPr>
                            <w:instrText xml:space="preserve"> PAGE </w:instrText>
                          </w:r>
                          <w:r>
                            <w:rPr>
                              <w:rFonts w:hint="default"/>
                              <w:sz w:val="18"/>
                            </w:rPr>
                            <w:fldChar w:fldCharType="separate"/>
                          </w:r>
                          <w:r>
                            <w:rPr>
                              <w:rFonts w:hint="default"/>
                              <w:sz w:val="18"/>
                            </w:rPr>
                            <w:t>1</w:t>
                          </w:r>
                          <w:r>
                            <w:rPr>
                              <w:rFonts w:hint="default"/>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r>
                      <w:rPr>
                        <w:rFonts w:hint="default"/>
                        <w:sz w:val="18"/>
                      </w:rPr>
                      <w:fldChar w:fldCharType="begin"/>
                    </w:r>
                    <w:r>
                      <w:rPr>
                        <w:rFonts w:hint="default"/>
                        <w:sz w:val="18"/>
                      </w:rPr>
                      <w:instrText xml:space="preserve"> PAGE </w:instrText>
                    </w:r>
                    <w:r>
                      <w:rPr>
                        <w:rFonts w:hint="default"/>
                        <w:sz w:val="18"/>
                      </w:rPr>
                      <w:fldChar w:fldCharType="separate"/>
                    </w:r>
                    <w:r>
                      <w:rPr>
                        <w:rFonts w:hint="default"/>
                        <w:sz w:val="18"/>
                      </w:rPr>
                      <w:t>1</w:t>
                    </w:r>
                    <w:r>
                      <w:rPr>
                        <w:rFonts w:hint="default"/>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sz w:val="18"/>
      </w:rPr>
    </w:pPr>
    <w:r>
      <w:rPr>
        <w:rFonts w:hint="eastAsia"/>
        <w:sz w:val="18"/>
      </w:rPr>
      <w:t>中山公用事业集团股份有限公司2019年第三季度报告正文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A868E0"/>
    <w:rsid w:val="069006D8"/>
    <w:rsid w:val="0C344D2C"/>
    <w:rsid w:val="0EF028B3"/>
    <w:rsid w:val="1F023770"/>
    <w:rsid w:val="22752AB5"/>
    <w:rsid w:val="2AFF5FD7"/>
    <w:rsid w:val="2C5F763C"/>
    <w:rsid w:val="2C844DF0"/>
    <w:rsid w:val="33316D48"/>
    <w:rsid w:val="3CA23465"/>
    <w:rsid w:val="463A4DAC"/>
    <w:rsid w:val="4FA16E5E"/>
    <w:rsid w:val="51C93E95"/>
    <w:rsid w:val="5E1A29B2"/>
    <w:rsid w:val="5E35070B"/>
    <w:rsid w:val="67EE0DEC"/>
    <w:rsid w:val="6E2104A7"/>
    <w:rsid w:val="70430E0B"/>
    <w:rsid w:val="759A3FE3"/>
    <w:rsid w:val="7B4707E1"/>
    <w:rsid w:val="7C5B30C7"/>
    <w:rsid w:val="7E0D52B8"/>
    <w:rsid w:val="7F220D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99" w:semiHidden="0" w:name="Title"/>
    <w:lsdException w:uiPriority="99" w:name="Closing"/>
    <w:lsdException w:uiPriority="99" w:name="Signature"/>
    <w:lsdException w:qFormat="1"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spacing w:before="40" w:beforeLines="0" w:after="40" w:afterLines="0"/>
      <w:jc w:val="both"/>
    </w:pPr>
    <w:rPr>
      <w:rFonts w:hint="eastAsia" w:ascii="Times New Roman" w:hAnsi="Times New Roman" w:eastAsia="宋体" w:cs="Times New Roman"/>
      <w:kern w:val="2"/>
      <w:sz w:val="18"/>
      <w:lang w:val="en-US" w:eastAsia="zh-CN"/>
    </w:rPr>
  </w:style>
  <w:style w:type="character" w:default="1" w:styleId="6">
    <w:name w:val="Default Paragraph Font"/>
    <w:unhideWhenUsed/>
    <w:qFormat/>
    <w:uiPriority w:val="99"/>
    <w:rPr>
      <w:rFonts w:hint="default"/>
      <w:sz w:val="24"/>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before="0" w:beforeLines="0" w:after="0" w:afterLines="0"/>
      <w:jc w:val="right"/>
    </w:pPr>
    <w:rPr>
      <w:rFonts w:hint="eastAsia"/>
      <w:sz w:val="18"/>
    </w:rPr>
  </w:style>
  <w:style w:type="paragraph" w:styleId="3">
    <w:name w:val="header"/>
    <w:basedOn w:val="1"/>
    <w:unhideWhenUsed/>
    <w:qFormat/>
    <w:uiPriority w:val="99"/>
    <w:pPr>
      <w:pBdr>
        <w:bottom w:val="single" w:color="auto" w:sz="6" w:space="1"/>
      </w:pBdr>
      <w:tabs>
        <w:tab w:val="center" w:pos="4153"/>
        <w:tab w:val="right" w:pos="8306"/>
      </w:tabs>
      <w:snapToGrid w:val="0"/>
      <w:spacing w:before="0" w:beforeLines="0" w:after="0" w:afterLines="0"/>
      <w:jc w:val="right"/>
    </w:pPr>
    <w:rPr>
      <w:rFonts w:hint="eastAsia"/>
      <w:sz w:val="18"/>
    </w:rPr>
  </w:style>
  <w:style w:type="paragraph" w:styleId="4">
    <w:name w:val="Title"/>
    <w:basedOn w:val="1"/>
    <w:next w:val="1"/>
    <w:unhideWhenUsed/>
    <w:qFormat/>
    <w:uiPriority w:val="99"/>
    <w:pPr>
      <w:keepNext/>
      <w:keepLines/>
      <w:widowControl w:val="0"/>
      <w:spacing w:before="340" w:beforeLines="0" w:after="330" w:afterLines="0" w:line="578" w:lineRule="auto"/>
      <w:jc w:val="center"/>
    </w:pPr>
    <w:rPr>
      <w:rFonts w:hint="eastAsia" w:ascii="Times New Roman" w:hAnsi="Times New Roman" w:eastAsia="宋体" w:cs="Times New Roman"/>
      <w:b/>
      <w:kern w:val="32"/>
      <w:sz w:val="32"/>
      <w:lang w:val="en-US" w:eastAsia="zh-CN"/>
    </w:rPr>
  </w:style>
  <w:style w:type="paragraph" w:customStyle="1" w:styleId="7">
    <w:name w:val="Chapter"/>
    <w:next w:val="1"/>
    <w:unhideWhenUsed/>
    <w:qFormat/>
    <w:uiPriority w:val="99"/>
    <w:pPr>
      <w:keepNext/>
      <w:keepLines/>
      <w:widowControl w:val="0"/>
      <w:spacing w:before="300" w:beforeLines="0" w:after="300" w:afterLines="0" w:line="241" w:lineRule="auto"/>
      <w:jc w:val="both"/>
    </w:pPr>
    <w:rPr>
      <w:rFonts w:hint="eastAsia" w:ascii="Times New Roman" w:hAnsi="Times New Roman" w:eastAsia="宋体" w:cs="Times New Roman"/>
      <w:b/>
      <w:kern w:val="28"/>
      <w:sz w:val="24"/>
      <w:lang w:val="en-US" w:eastAsia="zh-CN"/>
    </w:rPr>
  </w:style>
  <w:style w:type="paragraph" w:customStyle="1" w:styleId="8">
    <w:name w:val="Section"/>
    <w:next w:val="1"/>
    <w:unhideWhenUsed/>
    <w:qFormat/>
    <w:uiPriority w:val="99"/>
    <w:pPr>
      <w:keepNext/>
      <w:keepLines/>
      <w:widowControl w:val="0"/>
      <w:spacing w:before="300" w:beforeLines="0" w:after="300" w:afterLines="0" w:line="241" w:lineRule="auto"/>
      <w:jc w:val="both"/>
    </w:pPr>
    <w:rPr>
      <w:rFonts w:hint="eastAsia" w:ascii="Times New Roman" w:hAnsi="Times New Roman" w:eastAsia="宋体" w:cs="Times New Roman"/>
      <w:b/>
      <w:kern w:val="28"/>
      <w:sz w:val="21"/>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Office_11.1.0.9175_F1E327BC-269C-435d-A152-05C5408002CA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2019-10-28T04:31:00Z</dcterms:created>
  <dc:creator>lenovo</dc:creator>
  <cp:lastModifiedBy>申瑾</cp:lastModifiedBy>
  <dcterms:modified xsi:type="dcterms:W3CDTF">2019-10-30T07:29:26Z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