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300" w:beforeLines="0" w:afterLines="0"/>
        <w:rPr>
          <w:rFonts w:hint="eastAsia"/>
          <w:sz w:val="18"/>
          <w:szCs w:val="24"/>
        </w:rPr>
      </w:pPr>
      <w:r>
        <w:rPr>
          <w:rFonts w:hint="eastAsia" w:ascii="宋体" w:hAnsi="宋体"/>
          <w:sz w:val="21"/>
          <w:szCs w:val="21"/>
        </w:rPr>
        <w:t>证券代码：</w:t>
      </w:r>
      <w:r>
        <w:rPr>
          <w:rFonts w:ascii="宋体" w:hAnsi="宋体"/>
          <w:sz w:val="21"/>
          <w:szCs w:val="21"/>
        </w:rPr>
        <w:t xml:space="preserve">000685                   </w:t>
      </w:r>
      <w:r>
        <w:rPr>
          <w:rFonts w:hint="eastAsia" w:ascii="宋体" w:hAnsi="宋体"/>
          <w:sz w:val="21"/>
          <w:szCs w:val="21"/>
        </w:rPr>
        <w:t>证券简称：中山公用</w:t>
      </w:r>
      <w:r>
        <w:rPr>
          <w:rFonts w:ascii="宋体" w:hAnsi="宋体"/>
          <w:sz w:val="21"/>
          <w:szCs w:val="21"/>
        </w:rPr>
        <w:t xml:space="preserve">                   </w:t>
      </w:r>
      <w:r>
        <w:rPr>
          <w:rFonts w:hint="eastAsia" w:ascii="宋体" w:hAnsi="宋体"/>
          <w:sz w:val="21"/>
          <w:szCs w:val="21"/>
        </w:rPr>
        <w:t>公告编号：</w:t>
      </w:r>
      <w:r>
        <w:rPr>
          <w:rFonts w:ascii="宋体" w:hAnsi="宋体"/>
          <w:sz w:val="21"/>
          <w:szCs w:val="21"/>
        </w:rPr>
        <w:t>20</w:t>
      </w:r>
      <w:r>
        <w:rPr>
          <w:rFonts w:hint="eastAsia" w:ascii="宋体" w:hAnsi="宋体"/>
          <w:sz w:val="21"/>
          <w:szCs w:val="21"/>
          <w:lang w:val="en-US" w:eastAsia="zh-CN"/>
        </w:rPr>
        <w:t>21</w:t>
      </w:r>
      <w:r>
        <w:rPr>
          <w:rFonts w:ascii="宋体" w:hAnsi="宋体"/>
          <w:sz w:val="21"/>
          <w:szCs w:val="21"/>
        </w:rPr>
        <w:t>-</w:t>
      </w:r>
      <w:r>
        <w:rPr>
          <w:rFonts w:hint="eastAsia" w:ascii="宋体" w:hAnsi="宋体"/>
          <w:sz w:val="21"/>
          <w:szCs w:val="21"/>
          <w:lang w:val="en-US" w:eastAsia="zh-CN"/>
        </w:rPr>
        <w:t>032</w:t>
      </w:r>
      <w:r>
        <w:rPr>
          <w:rFonts w:hint="eastAsia" w:ascii="宋体" w:hAnsi="宋体"/>
          <w:sz w:val="21"/>
          <w:szCs w:val="21"/>
        </w:rPr>
        <w:t xml:space="preserve"> </w:t>
      </w:r>
      <w:r>
        <w:rPr>
          <w:rFonts w:hint="eastAsia"/>
          <w:sz w:val="18"/>
        </w:rPr>
        <w:t xml:space="preserve"> </w:t>
      </w:r>
    </w:p>
    <w:p>
      <w:pPr>
        <w:spacing w:before="700" w:beforeLines="0" w:after="700" w:afterLines="0"/>
        <w:jc w:val="center"/>
        <w:rPr>
          <w:rFonts w:hint="eastAsia" w:ascii="宋体" w:hAnsi="宋体" w:cs="宋体"/>
          <w:b/>
          <w:bCs/>
          <w:sz w:val="44"/>
          <w:szCs w:val="44"/>
          <w:lang w:bidi="ar-SA"/>
        </w:rPr>
      </w:pPr>
    </w:p>
    <w:p>
      <w:pPr>
        <w:spacing w:before="700" w:beforeLines="0" w:after="700" w:afterLines="0"/>
        <w:jc w:val="center"/>
        <w:rPr>
          <w:rFonts w:hint="eastAsia" w:ascii="宋体" w:hAnsi="宋体" w:cs="宋体"/>
          <w:b/>
          <w:bCs/>
          <w:sz w:val="44"/>
          <w:szCs w:val="44"/>
          <w:lang w:bidi="ar-SA"/>
        </w:rPr>
      </w:pPr>
      <w:r>
        <w:rPr>
          <w:rFonts w:hint="eastAsia" w:ascii="宋体" w:hAnsi="宋体" w:cs="宋体"/>
          <w:b/>
          <w:bCs/>
          <w:sz w:val="44"/>
          <w:szCs w:val="44"/>
          <w:lang w:bidi="ar-SA"/>
        </w:rPr>
        <w:t>中山公用事业集团股份有限公司</w:t>
      </w:r>
    </w:p>
    <w:p>
      <w:pPr>
        <w:spacing w:before="700" w:beforeLines="0" w:after="700" w:afterLines="0"/>
        <w:jc w:val="center"/>
        <w:rPr>
          <w:rFonts w:hint="eastAsia"/>
          <w:b/>
          <w:sz w:val="36"/>
        </w:rPr>
      </w:pPr>
      <w:r>
        <w:rPr>
          <w:rFonts w:hint="eastAsia" w:ascii="宋体" w:hAnsi="宋体" w:cs="宋体"/>
          <w:b/>
          <w:bCs/>
          <w:sz w:val="44"/>
          <w:szCs w:val="44"/>
          <w:lang w:bidi="ar-SA"/>
        </w:rPr>
        <w:t>202</w:t>
      </w:r>
      <w:r>
        <w:rPr>
          <w:rFonts w:hint="eastAsia" w:ascii="宋体" w:hAnsi="宋体" w:cs="宋体"/>
          <w:b/>
          <w:bCs/>
          <w:sz w:val="44"/>
          <w:szCs w:val="44"/>
          <w:lang w:val="en-US" w:eastAsia="zh-CN" w:bidi="ar-SA"/>
        </w:rPr>
        <w:t>1</w:t>
      </w:r>
      <w:r>
        <w:rPr>
          <w:rFonts w:hint="eastAsia" w:ascii="宋体" w:hAnsi="宋体" w:cs="宋体"/>
          <w:b/>
          <w:bCs/>
          <w:sz w:val="44"/>
          <w:szCs w:val="44"/>
          <w:lang w:bidi="ar-SA"/>
        </w:rPr>
        <w:t>年第一季度报告正文</w:t>
      </w:r>
    </w:p>
    <w:p>
      <w:pPr>
        <w:spacing w:before="700" w:beforeLines="0" w:after="700" w:afterLines="0"/>
        <w:jc w:val="center"/>
        <w:rPr>
          <w:rFonts w:hint="eastAsia"/>
          <w:b/>
          <w:sz w:val="36"/>
          <w:szCs w:val="24"/>
        </w:rPr>
      </w:pPr>
    </w:p>
    <w:p>
      <w:pPr>
        <w:spacing w:before="700" w:beforeLines="0" w:after="700" w:afterLines="0"/>
        <w:jc w:val="center"/>
        <w:rPr>
          <w:rFonts w:hint="eastAsia"/>
          <w:b/>
          <w:sz w:val="36"/>
          <w:szCs w:val="24"/>
        </w:rPr>
        <w:sectPr>
          <w:headerReference r:id="rId4" w:type="default"/>
          <w:footerReference r:id="rId5" w:type="default"/>
          <w:pgSz w:w="11906" w:h="16838"/>
          <w:pgMar w:top="1440" w:right="1134" w:bottom="1440" w:left="1134" w:header="720" w:footer="720" w:gutter="0"/>
          <w:lnNumType w:countBy="0" w:distance="360"/>
          <w:cols w:space="720" w:num="1"/>
        </w:sectPr>
      </w:pPr>
    </w:p>
    <w:p>
      <w:pPr>
        <w:pStyle w:val="4"/>
        <w:spacing w:beforeLines="-2147483648" w:afterLines="-2147483648"/>
        <w:outlineLvl w:val="0"/>
        <w:rPr>
          <w:rFonts w:hint="eastAsia" w:cs="Times New Roman"/>
          <w:bCs/>
          <w:sz w:val="44"/>
          <w:szCs w:val="44"/>
          <w:lang w:bidi="ar-SA"/>
        </w:rPr>
      </w:pPr>
      <w:bookmarkStart w:id="0" w:name="_Toc300000084"/>
      <w:r>
        <w:rPr>
          <w:rFonts w:hint="eastAsia" w:cs="Times New Roman"/>
          <w:bCs/>
          <w:sz w:val="44"/>
          <w:szCs w:val="44"/>
          <w:lang w:bidi="ar-SA"/>
        </w:rPr>
        <w:t>第一节 重要提示</w:t>
      </w:r>
      <w:bookmarkEnd w:id="0"/>
    </w:p>
    <w:p>
      <w:pPr>
        <w:spacing w:before="0" w:beforeLines="-2147483648" w:after="0" w:afterLines="-2147483648" w:line="360" w:lineRule="auto"/>
        <w:ind w:firstLine="480" w:firstLineChars="200"/>
        <w:rPr>
          <w:rFonts w:hint="eastAsia" w:ascii="宋体" w:hAnsi="宋体" w:cs="宋体"/>
          <w:sz w:val="24"/>
          <w:szCs w:val="24"/>
          <w:lang w:bidi="ar-SA"/>
        </w:rPr>
      </w:pPr>
      <w:r>
        <w:rPr>
          <w:rFonts w:hint="eastAsia" w:ascii="宋体" w:hAnsi="宋体" w:cs="宋体"/>
          <w:sz w:val="24"/>
          <w:szCs w:val="24"/>
          <w:lang w:bidi="ar-SA"/>
        </w:rPr>
        <w:t>公司董事会、监事会及董事、监事、高级管理人员保证季度报告内容的真实、准确、完整，不存在虚假记载、误导性陈述或者重大遗漏，并承担个别和连带的法律责任。</w:t>
      </w:r>
    </w:p>
    <w:p>
      <w:pPr>
        <w:spacing w:before="0" w:beforeLines="-2147483648" w:after="0" w:afterLines="-2147483648" w:line="360" w:lineRule="auto"/>
        <w:ind w:firstLine="480" w:firstLineChars="200"/>
        <w:rPr>
          <w:rFonts w:hint="eastAsia" w:ascii="宋体" w:hAnsi="宋体" w:cs="宋体"/>
          <w:sz w:val="24"/>
          <w:szCs w:val="24"/>
          <w:lang w:bidi="ar-SA"/>
        </w:rPr>
      </w:pPr>
      <w:r>
        <w:rPr>
          <w:rFonts w:hint="eastAsia" w:ascii="宋体" w:hAnsi="宋体" w:cs="宋体"/>
          <w:sz w:val="24"/>
          <w:szCs w:val="24"/>
          <w:lang w:bidi="ar-SA"/>
        </w:rPr>
        <w:t>所有董事均已出席了审议本次季报的董事会会议。</w:t>
      </w:r>
    </w:p>
    <w:p>
      <w:pPr>
        <w:spacing w:before="0" w:beforeLines="-2147483648" w:after="0" w:afterLines="-2147483648" w:line="360" w:lineRule="auto"/>
        <w:ind w:firstLine="480" w:firstLineChars="200"/>
        <w:rPr>
          <w:rFonts w:hint="eastAsia" w:ascii="宋体" w:hAnsi="宋体" w:cs="宋体"/>
          <w:sz w:val="24"/>
          <w:szCs w:val="24"/>
          <w:lang w:bidi="ar-SA"/>
        </w:rPr>
      </w:pPr>
      <w:r>
        <w:rPr>
          <w:rFonts w:hint="eastAsia" w:ascii="宋体" w:hAnsi="宋体" w:cs="宋体"/>
          <w:sz w:val="24"/>
          <w:szCs w:val="24"/>
          <w:lang w:bidi="ar-SA"/>
        </w:rPr>
        <w:t>公司负责人郭敬谊、主管会计工作负责人徐化群及会计机构负责人刘晓可声明：保证季度报告中财务报表的真实、准确、完整。</w:t>
      </w:r>
    </w:p>
    <w:p>
      <w:pPr>
        <w:spacing w:before="0" w:beforeLines="-2147483648" w:after="0" w:afterLines="-2147483648" w:line="360" w:lineRule="auto"/>
        <w:ind w:firstLine="480" w:firstLineChars="200"/>
        <w:rPr>
          <w:rFonts w:hint="eastAsia" w:ascii="宋体" w:hAnsi="宋体" w:cs="宋体"/>
          <w:sz w:val="24"/>
          <w:szCs w:val="24"/>
          <w:lang w:bidi="ar-SA"/>
        </w:rPr>
        <w:sectPr>
          <w:pgSz w:w="11906" w:h="16838"/>
          <w:pgMar w:top="1440" w:right="1134" w:bottom="1440" w:left="1134" w:header="851" w:footer="992" w:gutter="0"/>
          <w:cols w:space="425" w:num="1"/>
          <w:docGrid w:type="lines" w:linePitch="312" w:charSpace="0"/>
        </w:sectPr>
      </w:pPr>
    </w:p>
    <w:p>
      <w:pPr>
        <w:pStyle w:val="4"/>
        <w:spacing w:beforeLines="-2147483648" w:afterLines="-2147483648"/>
        <w:outlineLvl w:val="0"/>
        <w:rPr>
          <w:rFonts w:hint="eastAsia" w:cs="Times New Roman"/>
          <w:bCs/>
          <w:sz w:val="44"/>
          <w:szCs w:val="44"/>
          <w:lang w:bidi="ar-SA"/>
        </w:rPr>
      </w:pPr>
      <w:bookmarkStart w:id="1" w:name="_Toc300000085"/>
      <w:r>
        <w:rPr>
          <w:rFonts w:hint="eastAsia" w:cs="Times New Roman"/>
          <w:bCs/>
          <w:sz w:val="44"/>
          <w:szCs w:val="44"/>
          <w:lang w:bidi="ar-SA"/>
        </w:rPr>
        <w:t>第二节 公司基本情况</w:t>
      </w:r>
      <w:bookmarkEnd w:id="1"/>
    </w:p>
    <w:p>
      <w:pPr>
        <w:pStyle w:val="7"/>
        <w:spacing w:before="0" w:beforeLines="-2147483648" w:after="0" w:afterLines="-2147483648" w:line="360" w:lineRule="auto"/>
        <w:outlineLvl w:val="1"/>
        <w:rPr>
          <w:rFonts w:hint="eastAsia" w:ascii="宋体" w:hAnsi="宋体" w:cs="宋体"/>
          <w:bCs/>
          <w:szCs w:val="24"/>
          <w:lang w:bidi="ar-SA"/>
        </w:rPr>
      </w:pPr>
      <w:r>
        <w:rPr>
          <w:rFonts w:hint="eastAsia" w:ascii="宋体" w:hAnsi="宋体" w:cs="宋体"/>
          <w:bCs/>
          <w:szCs w:val="24"/>
          <w:lang w:bidi="ar-SA"/>
        </w:rPr>
        <w:t>一、主要会计数据和财务指标</w:t>
      </w:r>
    </w:p>
    <w:p>
      <w:pPr>
        <w:spacing w:before="0" w:beforeLines="-2147483648" w:after="0" w:afterLines="-2147483648" w:line="360" w:lineRule="auto"/>
        <w:jc w:val="left"/>
        <w:rPr>
          <w:rFonts w:hint="eastAsia" w:ascii="宋体" w:hAnsi="宋体" w:cs="宋体"/>
          <w:sz w:val="24"/>
          <w:szCs w:val="24"/>
          <w:lang w:bidi="ar-SA"/>
        </w:rPr>
      </w:pPr>
      <w:r>
        <w:rPr>
          <w:rFonts w:hint="eastAsia" w:ascii="宋体" w:hAnsi="宋体" w:cs="宋体"/>
          <w:sz w:val="24"/>
          <w:szCs w:val="24"/>
          <w:lang w:bidi="ar-SA"/>
        </w:rPr>
        <w:t>公司是否需追溯调整或重述以前年度会计数据</w:t>
      </w:r>
    </w:p>
    <w:p>
      <w:pPr>
        <w:spacing w:before="0" w:beforeLines="-2147483648" w:after="0" w:afterLines="-2147483648" w:line="360" w:lineRule="auto"/>
        <w:jc w:val="left"/>
        <w:rPr>
          <w:rFonts w:hint="eastAsia" w:ascii="宋体" w:hAnsi="宋体" w:cs="宋体"/>
          <w:sz w:val="24"/>
          <w:szCs w:val="24"/>
          <w:lang w:bidi="ar-SA"/>
        </w:rPr>
      </w:pPr>
      <w:r>
        <w:rPr>
          <w:rFonts w:hint="eastAsia" w:ascii="宋体" w:hAnsi="宋体" w:cs="宋体"/>
          <w:sz w:val="24"/>
          <w:szCs w:val="24"/>
          <w:lang w:bidi="ar-SA"/>
        </w:rPr>
        <w:t xml:space="preserve">□ 是 √ 否 </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50"/>
        <w:gridCol w:w="2219"/>
        <w:gridCol w:w="2130"/>
        <w:gridCol w:w="1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p>
        </w:tc>
        <w:tc>
          <w:tcPr>
            <w:tcW w:w="221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上年同期</w:t>
            </w:r>
          </w:p>
        </w:tc>
        <w:tc>
          <w:tcPr>
            <w:tcW w:w="17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本报告期比上年同期增减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营业收入（元）</w:t>
            </w:r>
          </w:p>
        </w:tc>
        <w:tc>
          <w:tcPr>
            <w:tcW w:w="221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519,894,371.36</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385,249,480.81</w:t>
            </w:r>
          </w:p>
        </w:tc>
        <w:tc>
          <w:tcPr>
            <w:tcW w:w="1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归属于上市公司股东的净利润（元）</w:t>
            </w:r>
          </w:p>
        </w:tc>
        <w:tc>
          <w:tcPr>
            <w:tcW w:w="221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321,064,369.14</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222,274,521.84</w:t>
            </w:r>
          </w:p>
        </w:tc>
        <w:tc>
          <w:tcPr>
            <w:tcW w:w="1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归属于上市公司股东的扣除非经常性损益的净利润（元）</w:t>
            </w:r>
          </w:p>
        </w:tc>
        <w:tc>
          <w:tcPr>
            <w:tcW w:w="22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 xml:space="preserve">    317,048,738.51 </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220,294,865.35</w:t>
            </w:r>
          </w:p>
        </w:tc>
        <w:tc>
          <w:tcPr>
            <w:tcW w:w="1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经营活动产生的现金流量净额（元）</w:t>
            </w:r>
          </w:p>
        </w:tc>
        <w:tc>
          <w:tcPr>
            <w:tcW w:w="221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105,316,497.27</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-31,875,700.94</w:t>
            </w:r>
          </w:p>
        </w:tc>
        <w:tc>
          <w:tcPr>
            <w:tcW w:w="1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基本每股收益（元/股）</w:t>
            </w:r>
          </w:p>
        </w:tc>
        <w:tc>
          <w:tcPr>
            <w:tcW w:w="221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0.22</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0.15</w:t>
            </w:r>
          </w:p>
        </w:tc>
        <w:tc>
          <w:tcPr>
            <w:tcW w:w="1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稀释每股收益（元/股）</w:t>
            </w:r>
          </w:p>
        </w:tc>
        <w:tc>
          <w:tcPr>
            <w:tcW w:w="221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0.22</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0.15</w:t>
            </w:r>
          </w:p>
        </w:tc>
        <w:tc>
          <w:tcPr>
            <w:tcW w:w="1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加权平均净资产收益率</w:t>
            </w:r>
          </w:p>
        </w:tc>
        <w:tc>
          <w:tcPr>
            <w:tcW w:w="22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2.24%</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1.66%</w:t>
            </w:r>
          </w:p>
        </w:tc>
        <w:tc>
          <w:tcPr>
            <w:tcW w:w="1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21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本报告期末</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上年度末</w:t>
            </w:r>
          </w:p>
        </w:tc>
        <w:tc>
          <w:tcPr>
            <w:tcW w:w="17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本报告期末比上年度末增减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总资产（元）</w:t>
            </w:r>
          </w:p>
        </w:tc>
        <w:tc>
          <w:tcPr>
            <w:tcW w:w="221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ascii="宋体" w:hAnsi="宋体" w:cs="宋体"/>
                <w:sz w:val="21"/>
                <w:szCs w:val="21"/>
              </w:rPr>
            </w:pPr>
            <w:r>
              <w:rPr>
                <w:rFonts w:ascii="宋体" w:hAnsi="宋体" w:cs="宋体"/>
                <w:sz w:val="21"/>
                <w:szCs w:val="21"/>
              </w:rPr>
              <w:t>21,232,967,258.89</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ascii="宋体" w:hAnsi="宋体" w:cs="宋体"/>
                <w:sz w:val="21"/>
                <w:szCs w:val="21"/>
              </w:rPr>
            </w:pPr>
            <w:r>
              <w:rPr>
                <w:rFonts w:ascii="宋体" w:hAnsi="宋体" w:cs="宋体"/>
                <w:sz w:val="21"/>
                <w:szCs w:val="21"/>
              </w:rPr>
              <w:t>20,888,502,511.54</w:t>
            </w:r>
          </w:p>
        </w:tc>
        <w:tc>
          <w:tcPr>
            <w:tcW w:w="1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cs="宋体"/>
                <w:sz w:val="21"/>
                <w:szCs w:val="21"/>
              </w:rPr>
            </w:pPr>
            <w:r>
              <w:rPr>
                <w:rFonts w:ascii="宋体" w:hAnsi="宋体" w:cs="宋体"/>
                <w:sz w:val="21"/>
                <w:szCs w:val="21"/>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归属于上市公司股东的净资产（元）</w:t>
            </w:r>
          </w:p>
        </w:tc>
        <w:tc>
          <w:tcPr>
            <w:tcW w:w="221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ascii="宋体" w:hAnsi="宋体" w:cs="宋体"/>
                <w:sz w:val="21"/>
                <w:szCs w:val="21"/>
              </w:rPr>
            </w:pPr>
            <w:r>
              <w:rPr>
                <w:rFonts w:ascii="宋体" w:hAnsi="宋体" w:cs="宋体"/>
                <w:sz w:val="21"/>
                <w:szCs w:val="21"/>
              </w:rPr>
              <w:t>14,298,975,884.87</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ascii="宋体" w:hAnsi="宋体" w:cs="宋体"/>
                <w:sz w:val="21"/>
                <w:szCs w:val="21"/>
              </w:rPr>
            </w:pPr>
            <w:r>
              <w:rPr>
                <w:rFonts w:ascii="宋体" w:hAnsi="宋体" w:cs="宋体"/>
                <w:sz w:val="21"/>
                <w:szCs w:val="21"/>
              </w:rPr>
              <w:t>14,075,436,434.05</w:t>
            </w:r>
          </w:p>
        </w:tc>
        <w:tc>
          <w:tcPr>
            <w:tcW w:w="1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cs="宋体"/>
                <w:sz w:val="21"/>
                <w:szCs w:val="21"/>
              </w:rPr>
            </w:pPr>
            <w:r>
              <w:rPr>
                <w:rFonts w:ascii="宋体" w:hAnsi="宋体" w:cs="宋体"/>
                <w:sz w:val="21"/>
                <w:szCs w:val="21"/>
              </w:rPr>
              <w:t>1.59%</w:t>
            </w:r>
          </w:p>
        </w:tc>
      </w:tr>
    </w:tbl>
    <w:p>
      <w:pPr>
        <w:spacing w:before="0" w:beforeLines="-2147483648" w:after="0" w:afterLines="-2147483648" w:line="360" w:lineRule="auto"/>
        <w:jc w:val="left"/>
        <w:rPr>
          <w:rFonts w:hint="eastAsia" w:ascii="宋体" w:hAnsi="宋体" w:cs="宋体"/>
          <w:sz w:val="24"/>
          <w:szCs w:val="24"/>
          <w:lang w:bidi="ar-SA"/>
        </w:rPr>
      </w:pPr>
      <w:r>
        <w:rPr>
          <w:rFonts w:hint="eastAsia" w:ascii="宋体" w:hAnsi="宋体" w:cs="宋体"/>
          <w:sz w:val="24"/>
          <w:szCs w:val="24"/>
          <w:lang w:bidi="ar-SA"/>
        </w:rPr>
        <w:t>非经常性损益项目和金额</w:t>
      </w:r>
    </w:p>
    <w:p>
      <w:pPr>
        <w:spacing w:before="0" w:beforeLines="-2147483648" w:after="0" w:afterLines="-2147483648" w:line="360" w:lineRule="auto"/>
        <w:jc w:val="left"/>
        <w:rPr>
          <w:rFonts w:hint="eastAsia" w:ascii="宋体" w:hAnsi="宋体" w:cs="宋体"/>
          <w:sz w:val="24"/>
          <w:szCs w:val="24"/>
          <w:lang w:bidi="ar-SA"/>
        </w:rPr>
      </w:pPr>
      <w:r>
        <w:rPr>
          <w:rFonts w:hint="eastAsia" w:ascii="宋体" w:hAnsi="宋体" w:cs="宋体"/>
          <w:sz w:val="24"/>
          <w:szCs w:val="24"/>
          <w:lang w:bidi="ar-SA"/>
        </w:rPr>
        <w:t xml:space="preserve">√ 适用 □ 不适用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right"/>
        <w:textAlignment w:val="auto"/>
        <w:rPr>
          <w:rFonts w:hint="eastAsia" w:cs="宋体"/>
          <w:sz w:val="24"/>
          <w:szCs w:val="24"/>
          <w:lang w:bidi="ar-SA"/>
        </w:rPr>
      </w:pPr>
      <w:r>
        <w:rPr>
          <w:rFonts w:hint="eastAsia" w:cs="宋体"/>
          <w:sz w:val="24"/>
          <w:szCs w:val="24"/>
          <w:lang w:bidi="ar-SA"/>
        </w:rPr>
        <w:t>单位：元</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45"/>
        <w:gridCol w:w="2230"/>
        <w:gridCol w:w="2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22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年初至报告期期末金额</w:t>
            </w:r>
          </w:p>
        </w:tc>
        <w:tc>
          <w:tcPr>
            <w:tcW w:w="25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计入当期损益的政府补助（与企业业务密切相关，按照国家统一标准定额或定量享受的政府补助除外）</w:t>
            </w:r>
          </w:p>
        </w:tc>
        <w:tc>
          <w:tcPr>
            <w:tcW w:w="22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5,909,045.10</w:t>
            </w:r>
          </w:p>
        </w:tc>
        <w:tc>
          <w:tcPr>
            <w:tcW w:w="250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主要是政府补助。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委托他人投资或管理资产的损益</w:t>
            </w:r>
          </w:p>
        </w:tc>
        <w:tc>
          <w:tcPr>
            <w:tcW w:w="22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102,584.65</w:t>
            </w:r>
          </w:p>
        </w:tc>
        <w:tc>
          <w:tcPr>
            <w:tcW w:w="250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主要是银行理财收益。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22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51,079.55</w:t>
            </w:r>
          </w:p>
        </w:tc>
        <w:tc>
          <w:tcPr>
            <w:tcW w:w="250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主要是交易性金融资产公允价值变动及处置收益。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除上述各项之外的其他营业外收入和支出</w:t>
            </w:r>
          </w:p>
        </w:tc>
        <w:tc>
          <w:tcPr>
            <w:tcW w:w="22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1,466,427.68</w:t>
            </w:r>
          </w:p>
        </w:tc>
        <w:tc>
          <w:tcPr>
            <w:tcW w:w="250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减：所得税影响额</w:t>
            </w:r>
          </w:p>
        </w:tc>
        <w:tc>
          <w:tcPr>
            <w:tcW w:w="22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1,860,484.76</w:t>
            </w:r>
          </w:p>
        </w:tc>
        <w:tc>
          <w:tcPr>
            <w:tcW w:w="250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少数股东权益影响额（税后）</w:t>
            </w:r>
          </w:p>
        </w:tc>
        <w:tc>
          <w:tcPr>
            <w:tcW w:w="22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1,653,021.59</w:t>
            </w:r>
          </w:p>
        </w:tc>
        <w:tc>
          <w:tcPr>
            <w:tcW w:w="250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22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4,015,630.63</w:t>
            </w:r>
          </w:p>
        </w:tc>
        <w:tc>
          <w:tcPr>
            <w:tcW w:w="25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bl>
    <w:p>
      <w:pPr>
        <w:spacing w:before="0" w:beforeLines="-2147483648" w:after="0" w:afterLines="-2147483648" w:line="360" w:lineRule="auto"/>
        <w:jc w:val="left"/>
        <w:rPr>
          <w:rFonts w:hint="eastAsia" w:ascii="宋体" w:hAnsi="宋体" w:cs="宋体"/>
          <w:sz w:val="24"/>
          <w:szCs w:val="24"/>
          <w:lang w:bidi="ar-SA"/>
        </w:rPr>
      </w:pPr>
      <w:r>
        <w:rPr>
          <w:rFonts w:hint="eastAsia" w:ascii="宋体" w:hAnsi="宋体" w:cs="宋体"/>
          <w:sz w:val="24"/>
          <w:szCs w:val="24"/>
          <w:lang w:bidi="ar-SA"/>
        </w:rPr>
        <w:t>对公司根据《公开发行证券的公司信息披露解释性公告第1号——非经常性损益》定义界定的非经常性损益项目，以及把《公开发行证券的公司信息披露解释性公告第1号——非经常性损益》中列举的非经常性损益项目界定为经常性损益的项目，应说明原因</w:t>
      </w:r>
    </w:p>
    <w:p>
      <w:pPr>
        <w:spacing w:before="0" w:beforeLines="-2147483648" w:after="0" w:afterLines="-2147483648" w:line="360" w:lineRule="auto"/>
        <w:jc w:val="left"/>
        <w:rPr>
          <w:rFonts w:hint="eastAsia" w:ascii="宋体" w:hAnsi="宋体" w:cs="宋体"/>
          <w:sz w:val="24"/>
          <w:szCs w:val="24"/>
          <w:lang w:bidi="ar-SA"/>
        </w:rPr>
      </w:pPr>
      <w:r>
        <w:rPr>
          <w:rFonts w:hint="eastAsia" w:ascii="宋体" w:hAnsi="宋体" w:cs="宋体"/>
          <w:sz w:val="24"/>
          <w:szCs w:val="24"/>
          <w:lang w:bidi="ar-SA"/>
        </w:rPr>
        <w:t xml:space="preserve">□ 适用 √ 不适用 </w:t>
      </w:r>
    </w:p>
    <w:p>
      <w:pPr>
        <w:spacing w:before="0" w:beforeLines="-2147483648" w:after="0" w:afterLines="-2147483648" w:line="360" w:lineRule="auto"/>
        <w:jc w:val="left"/>
        <w:rPr>
          <w:rFonts w:hint="eastAsia" w:ascii="宋体" w:hAnsi="宋体" w:cs="宋体"/>
          <w:sz w:val="24"/>
          <w:szCs w:val="24"/>
          <w:lang w:bidi="ar-SA"/>
        </w:rPr>
      </w:pPr>
      <w:r>
        <w:rPr>
          <w:rFonts w:hint="eastAsia" w:ascii="宋体" w:hAnsi="宋体" w:cs="宋体"/>
          <w:sz w:val="24"/>
          <w:szCs w:val="24"/>
          <w:lang w:bidi="ar-SA"/>
        </w:rPr>
        <w:t>公司报告期不存在将根据《公开发行证券的公司信息披露解释性公告第1号——非经常性损益》定义、列举的非经常性损益项目界定为经常性损益的项目的情形。</w:t>
      </w:r>
    </w:p>
    <w:p>
      <w:pPr>
        <w:pStyle w:val="7"/>
        <w:spacing w:before="0" w:beforeLines="-2147483648" w:after="0" w:afterLines="-2147483648" w:line="360" w:lineRule="auto"/>
        <w:outlineLvl w:val="1"/>
        <w:rPr>
          <w:rFonts w:hint="eastAsia" w:ascii="宋体" w:hAnsi="宋体" w:cs="宋体"/>
          <w:bCs/>
          <w:szCs w:val="24"/>
          <w:lang w:bidi="ar-SA"/>
        </w:rPr>
      </w:pPr>
      <w:r>
        <w:rPr>
          <w:rFonts w:hint="eastAsia" w:ascii="宋体" w:hAnsi="宋体" w:cs="宋体"/>
          <w:bCs/>
          <w:szCs w:val="24"/>
          <w:lang w:bidi="ar-SA"/>
        </w:rPr>
        <w:t>二、报告期末股东总数及前十名股东持股情况表</w:t>
      </w:r>
    </w:p>
    <w:p>
      <w:pPr>
        <w:pStyle w:val="7"/>
        <w:spacing w:before="0" w:beforeLines="-2147483648" w:after="0" w:afterLines="-2147483648" w:line="360" w:lineRule="auto"/>
        <w:outlineLvl w:val="1"/>
        <w:rPr>
          <w:rFonts w:hint="eastAsia" w:ascii="宋体" w:hAnsi="宋体" w:cs="宋体"/>
          <w:bCs/>
          <w:szCs w:val="24"/>
          <w:lang w:bidi="ar-SA"/>
        </w:rPr>
      </w:pPr>
      <w:r>
        <w:rPr>
          <w:rFonts w:hint="eastAsia" w:ascii="宋体" w:hAnsi="宋体" w:cs="宋体"/>
          <w:bCs/>
          <w:szCs w:val="24"/>
          <w:lang w:bidi="ar-SA"/>
        </w:rPr>
        <w:t>1、普通股股东总数和表决权恢复的优先股股东数量及前10名股东持股情况表</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right"/>
        <w:textAlignment w:val="auto"/>
        <w:rPr>
          <w:rFonts w:hint="eastAsia" w:cs="宋体"/>
          <w:sz w:val="24"/>
          <w:szCs w:val="24"/>
          <w:lang w:bidi="ar-SA"/>
        </w:rPr>
      </w:pPr>
      <w:r>
        <w:rPr>
          <w:rFonts w:hint="eastAsia" w:cs="宋体"/>
          <w:sz w:val="24"/>
          <w:szCs w:val="24"/>
          <w:lang w:bidi="ar-SA"/>
        </w:rPr>
        <w:t>单位：股</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89"/>
        <w:gridCol w:w="1541"/>
        <w:gridCol w:w="1195"/>
        <w:gridCol w:w="1490"/>
        <w:gridCol w:w="1545"/>
        <w:gridCol w:w="1069"/>
        <w:gridCol w:w="1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报告期末普通股股东总数</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41,642</w:t>
            </w:r>
          </w:p>
        </w:tc>
        <w:tc>
          <w:tcPr>
            <w:tcW w:w="303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报告期末表决权恢复的优先股股东总数</w:t>
            </w:r>
          </w:p>
        </w:tc>
        <w:tc>
          <w:tcPr>
            <w:tcW w:w="2437"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697" w:type="dxa"/>
            <w:gridSpan w:val="7"/>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前10名股东持股情况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8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股东名称</w:t>
            </w:r>
          </w:p>
        </w:tc>
        <w:tc>
          <w:tcPr>
            <w:tcW w:w="154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股东性质</w:t>
            </w:r>
          </w:p>
        </w:tc>
        <w:tc>
          <w:tcPr>
            <w:tcW w:w="119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持股比例</w:t>
            </w:r>
          </w:p>
        </w:tc>
        <w:tc>
          <w:tcPr>
            <w:tcW w:w="14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持股数量</w:t>
            </w:r>
          </w:p>
        </w:tc>
        <w:tc>
          <w:tcPr>
            <w:tcW w:w="154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持有有限售条件的股份数量</w:t>
            </w:r>
          </w:p>
        </w:tc>
        <w:tc>
          <w:tcPr>
            <w:tcW w:w="2437"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质押或冻结情况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54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19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4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54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06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股份状态</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8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中山中汇投资集团有限公司</w:t>
            </w:r>
          </w:p>
        </w:tc>
        <w:tc>
          <w:tcPr>
            <w:tcW w:w="1541"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国有法人</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47.98%</w:t>
            </w:r>
          </w:p>
        </w:tc>
        <w:tc>
          <w:tcPr>
            <w:tcW w:w="149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707,760,884</w:t>
            </w: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216,689,401</w:t>
            </w:r>
          </w:p>
        </w:tc>
        <w:tc>
          <w:tcPr>
            <w:tcW w:w="10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8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上海复星高科技（集团）有限公司</w:t>
            </w:r>
          </w:p>
        </w:tc>
        <w:tc>
          <w:tcPr>
            <w:tcW w:w="1541"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境内非国有法人</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12.35%</w:t>
            </w:r>
          </w:p>
        </w:tc>
        <w:tc>
          <w:tcPr>
            <w:tcW w:w="149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182,211,872</w:t>
            </w: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0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8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中央汇金资产管理有限责任公司</w:t>
            </w:r>
          </w:p>
        </w:tc>
        <w:tc>
          <w:tcPr>
            <w:tcW w:w="1541"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国有法人</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1.87%</w:t>
            </w:r>
          </w:p>
        </w:tc>
        <w:tc>
          <w:tcPr>
            <w:tcW w:w="149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27,511,100</w:t>
            </w: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0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8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香港中央结算有限公司</w:t>
            </w:r>
          </w:p>
        </w:tc>
        <w:tc>
          <w:tcPr>
            <w:tcW w:w="1541"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境外法人</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0.87%</w:t>
            </w:r>
          </w:p>
        </w:tc>
        <w:tc>
          <w:tcPr>
            <w:tcW w:w="149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12,836,470</w:t>
            </w: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0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8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肖阿军</w:t>
            </w:r>
          </w:p>
        </w:tc>
        <w:tc>
          <w:tcPr>
            <w:tcW w:w="1541"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境内自然人</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0.86%</w:t>
            </w:r>
          </w:p>
        </w:tc>
        <w:tc>
          <w:tcPr>
            <w:tcW w:w="149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12,626,676</w:t>
            </w: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0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8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中山市古镇自来水厂</w:t>
            </w:r>
          </w:p>
        </w:tc>
        <w:tc>
          <w:tcPr>
            <w:tcW w:w="1541"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境内非国有法人</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0.85%</w:t>
            </w:r>
          </w:p>
        </w:tc>
        <w:tc>
          <w:tcPr>
            <w:tcW w:w="149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12,603,546</w:t>
            </w: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0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8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袁河</w:t>
            </w:r>
          </w:p>
        </w:tc>
        <w:tc>
          <w:tcPr>
            <w:tcW w:w="1541"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境内自然人</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0.81%</w:t>
            </w:r>
          </w:p>
        </w:tc>
        <w:tc>
          <w:tcPr>
            <w:tcW w:w="149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11,997,002</w:t>
            </w: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0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8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中山市三乡水务有限公司</w:t>
            </w:r>
          </w:p>
        </w:tc>
        <w:tc>
          <w:tcPr>
            <w:tcW w:w="1541"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境内非国有法人</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0.80%</w:t>
            </w:r>
          </w:p>
        </w:tc>
        <w:tc>
          <w:tcPr>
            <w:tcW w:w="149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11,797,866</w:t>
            </w: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0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8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广西铁路发展投资基金（有限合伙）</w:t>
            </w:r>
          </w:p>
        </w:tc>
        <w:tc>
          <w:tcPr>
            <w:tcW w:w="1541"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境内非国有法人</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0.56%</w:t>
            </w:r>
          </w:p>
        </w:tc>
        <w:tc>
          <w:tcPr>
            <w:tcW w:w="149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8,319,467</w:t>
            </w: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0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8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中山市东凤自来水厂</w:t>
            </w:r>
          </w:p>
        </w:tc>
        <w:tc>
          <w:tcPr>
            <w:tcW w:w="1541"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境内非国有法人</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0.54%</w:t>
            </w:r>
          </w:p>
        </w:tc>
        <w:tc>
          <w:tcPr>
            <w:tcW w:w="149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7,998,806</w:t>
            </w: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0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697" w:type="dxa"/>
            <w:gridSpan w:val="7"/>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前10名无限售条件股东持股情况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jc w:val="center"/>
        </w:trPr>
        <w:tc>
          <w:tcPr>
            <w:tcW w:w="30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股东名称</w:t>
            </w:r>
          </w:p>
        </w:tc>
        <w:tc>
          <w:tcPr>
            <w:tcW w:w="4230"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持有无限售条件股份数量</w:t>
            </w:r>
          </w:p>
        </w:tc>
        <w:tc>
          <w:tcPr>
            <w:tcW w:w="2437"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股份种类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中山中汇投资集团有限公司</w:t>
            </w:r>
          </w:p>
        </w:tc>
        <w:tc>
          <w:tcPr>
            <w:tcW w:w="423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491,071,483</w:t>
            </w:r>
          </w:p>
        </w:tc>
        <w:tc>
          <w:tcPr>
            <w:tcW w:w="2437"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上海复星高科技（集团）有限公司</w:t>
            </w:r>
          </w:p>
        </w:tc>
        <w:tc>
          <w:tcPr>
            <w:tcW w:w="423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182,211,872</w:t>
            </w:r>
          </w:p>
        </w:tc>
        <w:tc>
          <w:tcPr>
            <w:tcW w:w="2437"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中央汇金资产管理有限责任公司</w:t>
            </w:r>
          </w:p>
        </w:tc>
        <w:tc>
          <w:tcPr>
            <w:tcW w:w="423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27,511,100</w:t>
            </w:r>
          </w:p>
        </w:tc>
        <w:tc>
          <w:tcPr>
            <w:tcW w:w="2437"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香港中央结算有限公司</w:t>
            </w:r>
          </w:p>
        </w:tc>
        <w:tc>
          <w:tcPr>
            <w:tcW w:w="423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12,836,470</w:t>
            </w:r>
          </w:p>
        </w:tc>
        <w:tc>
          <w:tcPr>
            <w:tcW w:w="2437"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肖阿军</w:t>
            </w:r>
          </w:p>
        </w:tc>
        <w:tc>
          <w:tcPr>
            <w:tcW w:w="423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12,626,676</w:t>
            </w:r>
          </w:p>
        </w:tc>
        <w:tc>
          <w:tcPr>
            <w:tcW w:w="2437"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中山市古镇自来水厂</w:t>
            </w:r>
          </w:p>
        </w:tc>
        <w:tc>
          <w:tcPr>
            <w:tcW w:w="423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12,603,546</w:t>
            </w:r>
          </w:p>
        </w:tc>
        <w:tc>
          <w:tcPr>
            <w:tcW w:w="2437"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袁河</w:t>
            </w:r>
          </w:p>
        </w:tc>
        <w:tc>
          <w:tcPr>
            <w:tcW w:w="423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11,997,002</w:t>
            </w:r>
          </w:p>
        </w:tc>
        <w:tc>
          <w:tcPr>
            <w:tcW w:w="2437"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中山市三乡水务有限公司</w:t>
            </w:r>
          </w:p>
        </w:tc>
        <w:tc>
          <w:tcPr>
            <w:tcW w:w="423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11,797,866</w:t>
            </w:r>
          </w:p>
        </w:tc>
        <w:tc>
          <w:tcPr>
            <w:tcW w:w="2437"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广西铁路发展投资基金（有限合伙）</w:t>
            </w:r>
          </w:p>
        </w:tc>
        <w:tc>
          <w:tcPr>
            <w:tcW w:w="423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8,319,467</w:t>
            </w:r>
          </w:p>
        </w:tc>
        <w:tc>
          <w:tcPr>
            <w:tcW w:w="2437"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中山市东凤自来水厂</w:t>
            </w:r>
          </w:p>
        </w:tc>
        <w:tc>
          <w:tcPr>
            <w:tcW w:w="423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7,998,806</w:t>
            </w:r>
          </w:p>
        </w:tc>
        <w:tc>
          <w:tcPr>
            <w:tcW w:w="2437"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上述股东关联关系或一致行动的说明</w:t>
            </w:r>
          </w:p>
        </w:tc>
        <w:tc>
          <w:tcPr>
            <w:tcW w:w="6667"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前十名股东中持有有限售条件流通股股份的国有股东、法人股各股东之间无关联关系，亦无属于《上市公司股东持股变动信息披露管理办法》中规定的一致行动人情况。其他各无限售条件流通股股东之间，公司无法判断有无关联关系，也无法判断是否属于《上市公司股东持股变动信息披露管理办法》中规定的一致行动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前10名股东参与融资融券业务情况说明</w:t>
            </w:r>
          </w:p>
        </w:tc>
        <w:tc>
          <w:tcPr>
            <w:tcW w:w="6667"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公司股东肖阿军除通过普通证券账户持有50,000股外，还通过华福证券有限责任公司客户信用交易担保证券账户持有12,576,676股，实际合计持有12,626,676股。</w:t>
            </w:r>
          </w:p>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公司股东袁河除通过普通证券账户持有8,547,533股外，还通过广发证券股份有限公司客户信用交易担保证券账户持有3,449,469股，实际合计持有11,997,002股。</w:t>
            </w:r>
          </w:p>
        </w:tc>
      </w:tr>
    </w:tbl>
    <w:p>
      <w:pPr>
        <w:spacing w:before="0" w:beforeLines="-2147483648" w:after="0" w:afterLines="-2147483648" w:line="360" w:lineRule="auto"/>
        <w:jc w:val="left"/>
        <w:rPr>
          <w:rFonts w:hint="eastAsia" w:ascii="宋体" w:hAnsi="宋体" w:cs="宋体"/>
          <w:sz w:val="24"/>
          <w:szCs w:val="24"/>
          <w:lang w:bidi="ar-SA"/>
        </w:rPr>
      </w:pPr>
      <w:r>
        <w:rPr>
          <w:rFonts w:hint="eastAsia" w:ascii="宋体" w:hAnsi="宋体" w:cs="宋体"/>
          <w:sz w:val="24"/>
          <w:szCs w:val="24"/>
          <w:lang w:bidi="ar-SA"/>
        </w:rPr>
        <w:t>公司前10名普通股股东、前10名无限售条件普通股股东在报告期内是否进行约定购回交易</w:t>
      </w:r>
    </w:p>
    <w:p>
      <w:pPr>
        <w:spacing w:before="0" w:beforeLines="-2147483648" w:after="0" w:afterLines="-2147483648" w:line="360" w:lineRule="auto"/>
        <w:jc w:val="left"/>
        <w:rPr>
          <w:rFonts w:hint="eastAsia" w:ascii="宋体" w:hAnsi="宋体" w:cs="宋体"/>
          <w:sz w:val="24"/>
          <w:szCs w:val="24"/>
          <w:lang w:bidi="ar-SA"/>
        </w:rPr>
      </w:pPr>
      <w:r>
        <w:rPr>
          <w:rFonts w:hint="eastAsia" w:ascii="宋体" w:hAnsi="宋体" w:cs="宋体"/>
          <w:sz w:val="24"/>
          <w:szCs w:val="24"/>
          <w:lang w:bidi="ar-SA"/>
        </w:rPr>
        <w:t xml:space="preserve">□ 是 √ 否 </w:t>
      </w:r>
    </w:p>
    <w:p>
      <w:pPr>
        <w:spacing w:before="0" w:beforeLines="-2147483648" w:after="0" w:afterLines="-2147483648" w:line="360" w:lineRule="auto"/>
        <w:jc w:val="left"/>
        <w:rPr>
          <w:rFonts w:hint="eastAsia"/>
          <w:sz w:val="18"/>
          <w:szCs w:val="24"/>
        </w:rPr>
      </w:pPr>
      <w:r>
        <w:rPr>
          <w:rFonts w:hint="eastAsia" w:ascii="宋体" w:hAnsi="宋体" w:cs="宋体"/>
          <w:sz w:val="24"/>
          <w:szCs w:val="24"/>
          <w:lang w:bidi="ar-SA"/>
        </w:rPr>
        <w:t>公司前10名普通股股东、前10名无限售条件普通股股东在报告期内未进行约定购回交易。</w:t>
      </w:r>
    </w:p>
    <w:p>
      <w:pPr>
        <w:pStyle w:val="7"/>
        <w:spacing w:before="0" w:beforeLines="-2147483648" w:after="0" w:afterLines="-2147483648" w:line="360" w:lineRule="auto"/>
        <w:outlineLvl w:val="1"/>
        <w:rPr>
          <w:rFonts w:hint="eastAsia" w:ascii="宋体" w:hAnsi="宋体" w:cs="宋体"/>
          <w:bCs/>
          <w:szCs w:val="24"/>
          <w:lang w:bidi="ar-SA"/>
        </w:rPr>
      </w:pPr>
      <w:r>
        <w:rPr>
          <w:rFonts w:hint="eastAsia" w:ascii="宋体" w:hAnsi="宋体" w:cs="宋体"/>
          <w:bCs/>
          <w:szCs w:val="24"/>
          <w:lang w:bidi="ar-SA"/>
        </w:rPr>
        <w:t>2、公司优先股股东总数及前10名优先股股东持股情况表</w:t>
      </w:r>
    </w:p>
    <w:p>
      <w:pPr>
        <w:spacing w:before="0" w:beforeLines="-2147483648" w:after="0" w:afterLines="-2147483648" w:line="360" w:lineRule="auto"/>
        <w:jc w:val="left"/>
        <w:rPr>
          <w:rFonts w:hint="eastAsia" w:ascii="宋体" w:hAnsi="宋体" w:cs="宋体"/>
          <w:sz w:val="24"/>
          <w:szCs w:val="24"/>
          <w:lang w:bidi="ar-SA"/>
        </w:rPr>
      </w:pPr>
      <w:r>
        <w:rPr>
          <w:rFonts w:hint="eastAsia" w:ascii="宋体" w:hAnsi="宋体" w:cs="宋体"/>
          <w:sz w:val="24"/>
          <w:szCs w:val="24"/>
          <w:lang w:bidi="ar-SA"/>
        </w:rPr>
        <w:t xml:space="preserve">□ 适用 √ 不适用 </w:t>
      </w:r>
    </w:p>
    <w:p>
      <w:pPr>
        <w:spacing w:before="0" w:beforeLines="-2147483648" w:after="0" w:afterLines="-2147483648" w:line="360" w:lineRule="auto"/>
        <w:jc w:val="left"/>
        <w:rPr>
          <w:rFonts w:hint="eastAsia" w:ascii="宋体" w:hAnsi="宋体" w:cs="宋体"/>
          <w:sz w:val="24"/>
          <w:szCs w:val="24"/>
          <w:lang w:bidi="ar-SA"/>
        </w:rPr>
        <w:sectPr>
          <w:pgSz w:w="11906" w:h="16838"/>
          <w:pgMar w:top="1440" w:right="1134" w:bottom="1440" w:left="1134" w:header="851" w:footer="992" w:gutter="0"/>
          <w:cols w:space="425" w:num="1"/>
          <w:docGrid w:type="lines" w:linePitch="312" w:charSpace="0"/>
        </w:sectPr>
      </w:pPr>
    </w:p>
    <w:p>
      <w:pPr>
        <w:pStyle w:val="4"/>
        <w:spacing w:beforeLines="-2147483648" w:afterLines="-2147483648"/>
        <w:outlineLvl w:val="0"/>
        <w:rPr>
          <w:rFonts w:hint="eastAsia" w:cs="宋体"/>
          <w:bCs/>
          <w:sz w:val="44"/>
          <w:szCs w:val="44"/>
          <w:lang w:bidi="ar-SA"/>
        </w:rPr>
      </w:pPr>
      <w:bookmarkStart w:id="2" w:name="_Toc300000086"/>
      <w:r>
        <w:rPr>
          <w:rFonts w:hint="eastAsia" w:cs="宋体"/>
          <w:bCs/>
          <w:sz w:val="44"/>
          <w:szCs w:val="44"/>
          <w:lang w:bidi="ar-SA"/>
        </w:rPr>
        <w:t>第三节 重要事项</w:t>
      </w:r>
      <w:bookmarkEnd w:id="2"/>
    </w:p>
    <w:p>
      <w:pPr>
        <w:pStyle w:val="7"/>
        <w:spacing w:before="0" w:beforeLines="-2147483648" w:after="0" w:afterLines="-2147483648" w:line="360" w:lineRule="auto"/>
        <w:outlineLvl w:val="1"/>
        <w:rPr>
          <w:rFonts w:hint="eastAsia" w:ascii="宋体" w:hAnsi="宋体" w:cs="宋体"/>
          <w:bCs/>
          <w:szCs w:val="24"/>
          <w:lang w:bidi="ar-SA"/>
        </w:rPr>
      </w:pPr>
      <w:r>
        <w:rPr>
          <w:rFonts w:hint="eastAsia" w:ascii="宋体" w:hAnsi="宋体" w:cs="宋体"/>
          <w:bCs/>
          <w:szCs w:val="24"/>
          <w:lang w:bidi="ar-SA"/>
        </w:rPr>
        <w:t>一、报告期主要财务数据、财务指标发生变动的情况及原因</w:t>
      </w:r>
    </w:p>
    <w:p>
      <w:pPr>
        <w:spacing w:before="0" w:after="0" w:line="360" w:lineRule="auto"/>
        <w:jc w:val="left"/>
        <w:rPr>
          <w:rFonts w:hint="eastAsia" w:ascii="宋体" w:hAnsi="宋体"/>
          <w:sz w:val="24"/>
          <w:szCs w:val="20"/>
        </w:rPr>
      </w:pPr>
      <w:r>
        <w:rPr>
          <w:rFonts w:hint="eastAsia" w:ascii="宋体" w:hAnsi="宋体"/>
          <w:sz w:val="24"/>
          <w:szCs w:val="20"/>
        </w:rPr>
        <w:t xml:space="preserve">√ 适用 □ 不适用 </w:t>
      </w:r>
    </w:p>
    <w:tbl>
      <w:tblPr>
        <w:tblStyle w:val="5"/>
        <w:tblW w:w="10335" w:type="dxa"/>
        <w:jc w:val="center"/>
        <w:tblLayout w:type="fixed"/>
        <w:tblCellMar>
          <w:top w:w="0" w:type="dxa"/>
          <w:left w:w="0" w:type="dxa"/>
          <w:bottom w:w="0" w:type="dxa"/>
          <w:right w:w="0" w:type="dxa"/>
        </w:tblCellMar>
      </w:tblPr>
      <w:tblGrid>
        <w:gridCol w:w="1617"/>
        <w:gridCol w:w="1875"/>
        <w:gridCol w:w="1830"/>
        <w:gridCol w:w="1860"/>
        <w:gridCol w:w="1309"/>
        <w:gridCol w:w="1844"/>
      </w:tblGrid>
      <w:tr>
        <w:tblPrEx>
          <w:tblCellMar>
            <w:top w:w="0" w:type="dxa"/>
            <w:left w:w="0" w:type="dxa"/>
            <w:bottom w:w="0" w:type="dxa"/>
            <w:right w:w="0" w:type="dxa"/>
          </w:tblCellMar>
        </w:tblPrEx>
        <w:trPr>
          <w:trHeight w:val="330" w:hRule="atLeast"/>
          <w:jc w:val="center"/>
        </w:trPr>
        <w:tc>
          <w:tcPr>
            <w:tcW w:w="1617"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w:t>
            </w:r>
          </w:p>
        </w:tc>
        <w:tc>
          <w:tcPr>
            <w:tcW w:w="1875"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期末余额</w:t>
            </w:r>
          </w:p>
        </w:tc>
        <w:tc>
          <w:tcPr>
            <w:tcW w:w="1830"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上年度末</w:t>
            </w:r>
          </w:p>
        </w:tc>
        <w:tc>
          <w:tcPr>
            <w:tcW w:w="1860"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增减变动额</w:t>
            </w:r>
          </w:p>
        </w:tc>
        <w:tc>
          <w:tcPr>
            <w:tcW w:w="1309"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增减</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变动率</w:t>
            </w:r>
          </w:p>
        </w:tc>
        <w:tc>
          <w:tcPr>
            <w:tcW w:w="1844"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变动原因说明</w:t>
            </w:r>
          </w:p>
        </w:tc>
      </w:tr>
      <w:tr>
        <w:tblPrEx>
          <w:tblCellMar>
            <w:top w:w="0" w:type="dxa"/>
            <w:left w:w="0" w:type="dxa"/>
            <w:bottom w:w="0" w:type="dxa"/>
            <w:right w:w="0" w:type="dxa"/>
          </w:tblCellMar>
        </w:tblPrEx>
        <w:trPr>
          <w:trHeight w:val="749" w:hRule="atLeast"/>
          <w:jc w:val="center"/>
        </w:trPr>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rPr>
                <w:rFonts w:hint="eastAsia" w:ascii="宋体" w:hAnsi="宋体" w:eastAsia="宋体" w:cs="宋体"/>
                <w:color w:val="000000"/>
                <w:sz w:val="21"/>
                <w:szCs w:val="21"/>
              </w:rPr>
            </w:pPr>
            <w:r>
              <w:rPr>
                <w:rFonts w:hint="eastAsia" w:ascii="宋体" w:hAnsi="宋体" w:eastAsia="宋体" w:cs="宋体"/>
                <w:sz w:val="21"/>
                <w:szCs w:val="21"/>
                <w:lang w:val="zh-CN"/>
              </w:rPr>
              <w:t>交易性金融资产</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sz w:val="21"/>
                <w:szCs w:val="21"/>
              </w:rPr>
            </w:pPr>
            <w:r>
              <w:rPr>
                <w:rFonts w:hint="eastAsia" w:ascii="宋体" w:hAnsi="宋体" w:eastAsia="宋体" w:cs="宋体"/>
                <w:sz w:val="21"/>
                <w:szCs w:val="21"/>
                <w:lang w:val="zh-CN"/>
              </w:rPr>
              <w:t xml:space="preserve">   75,006,885.08 </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sz w:val="21"/>
                <w:szCs w:val="21"/>
              </w:rPr>
            </w:pPr>
            <w:r>
              <w:rPr>
                <w:rFonts w:hint="eastAsia" w:ascii="宋体" w:hAnsi="宋体" w:eastAsia="宋体" w:cs="宋体"/>
                <w:sz w:val="21"/>
                <w:szCs w:val="21"/>
                <w:lang w:val="zh-CN"/>
              </w:rPr>
              <w:t xml:space="preserve">        10,806.24 </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sz w:val="21"/>
                <w:szCs w:val="21"/>
              </w:rPr>
            </w:pPr>
            <w:r>
              <w:rPr>
                <w:rFonts w:hint="eastAsia" w:ascii="宋体" w:hAnsi="宋体" w:eastAsia="宋体" w:cs="宋体"/>
                <w:sz w:val="21"/>
                <w:szCs w:val="21"/>
                <w:lang w:val="zh-CN"/>
              </w:rPr>
              <w:t xml:space="preserve">   74,996,078.84 </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sz w:val="21"/>
                <w:szCs w:val="21"/>
              </w:rPr>
            </w:pPr>
            <w:r>
              <w:rPr>
                <w:rFonts w:hint="eastAsia" w:ascii="宋体" w:hAnsi="宋体" w:eastAsia="宋体" w:cs="宋体"/>
                <w:sz w:val="21"/>
                <w:szCs w:val="21"/>
                <w:lang w:val="zh-CN"/>
              </w:rPr>
              <w:t>694</w:t>
            </w:r>
            <w:r>
              <w:rPr>
                <w:rFonts w:hint="eastAsia" w:ascii="宋体" w:hAnsi="宋体" w:eastAsia="宋体" w:cs="宋体"/>
                <w:sz w:val="21"/>
                <w:szCs w:val="21"/>
              </w:rPr>
              <w:t>,</w:t>
            </w:r>
            <w:r>
              <w:rPr>
                <w:rFonts w:hint="eastAsia" w:ascii="宋体" w:hAnsi="宋体" w:eastAsia="宋体" w:cs="宋体"/>
                <w:sz w:val="21"/>
                <w:szCs w:val="21"/>
                <w:lang w:val="zh-CN"/>
              </w:rPr>
              <w:t>007.16%</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adjustRightInd w:val="0"/>
              <w:spacing w:before="0" w:after="0"/>
              <w:rPr>
                <w:rFonts w:hint="eastAsia" w:ascii="宋体" w:hAnsi="宋体" w:eastAsia="宋体" w:cs="宋体"/>
                <w:color w:val="000000"/>
                <w:sz w:val="21"/>
                <w:szCs w:val="21"/>
              </w:rPr>
            </w:pPr>
            <w:r>
              <w:rPr>
                <w:rFonts w:hint="eastAsia" w:ascii="宋体" w:hAnsi="宋体" w:eastAsia="宋体" w:cs="宋体"/>
                <w:sz w:val="21"/>
                <w:szCs w:val="21"/>
                <w:lang w:val="zh-CN"/>
              </w:rPr>
              <w:t xml:space="preserve">主要是本年购买银行理财产品所致。 </w:t>
            </w:r>
          </w:p>
        </w:tc>
      </w:tr>
      <w:tr>
        <w:tblPrEx>
          <w:tblCellMar>
            <w:top w:w="0" w:type="dxa"/>
            <w:left w:w="0" w:type="dxa"/>
            <w:bottom w:w="0" w:type="dxa"/>
            <w:right w:w="0" w:type="dxa"/>
          </w:tblCellMar>
        </w:tblPrEx>
        <w:trPr>
          <w:trHeight w:val="734" w:hRule="atLeast"/>
          <w:jc w:val="center"/>
        </w:trPr>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rPr>
                <w:rFonts w:hint="eastAsia" w:ascii="宋体" w:hAnsi="宋体" w:eastAsia="宋体" w:cs="宋体"/>
                <w:color w:val="000000"/>
                <w:sz w:val="21"/>
                <w:szCs w:val="21"/>
              </w:rPr>
            </w:pPr>
            <w:r>
              <w:rPr>
                <w:rFonts w:hint="eastAsia" w:ascii="宋体" w:hAnsi="宋体" w:eastAsia="宋体" w:cs="宋体"/>
                <w:sz w:val="21"/>
                <w:szCs w:val="21"/>
                <w:lang w:val="zh-CN"/>
              </w:rPr>
              <w:t>合同资产</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sz w:val="21"/>
                <w:szCs w:val="21"/>
              </w:rPr>
            </w:pPr>
            <w:r>
              <w:rPr>
                <w:rFonts w:hint="eastAsia" w:ascii="宋体" w:hAnsi="宋体" w:eastAsia="宋体" w:cs="宋体"/>
                <w:sz w:val="21"/>
                <w:szCs w:val="21"/>
                <w:lang w:val="zh-CN"/>
              </w:rPr>
              <w:t xml:space="preserve">  155,044,274.17 </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sz w:val="21"/>
                <w:szCs w:val="21"/>
              </w:rPr>
            </w:pPr>
            <w:r>
              <w:rPr>
                <w:rFonts w:hint="eastAsia" w:ascii="宋体" w:hAnsi="宋体" w:eastAsia="宋体" w:cs="宋体"/>
                <w:sz w:val="21"/>
                <w:szCs w:val="21"/>
                <w:lang w:val="zh-CN"/>
              </w:rPr>
              <w:t xml:space="preserve">   239,452,496.30 </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sz w:val="21"/>
                <w:szCs w:val="21"/>
              </w:rPr>
            </w:pPr>
            <w:r>
              <w:rPr>
                <w:rFonts w:hint="eastAsia" w:ascii="宋体" w:hAnsi="宋体" w:eastAsia="宋体" w:cs="宋体"/>
                <w:sz w:val="21"/>
                <w:szCs w:val="21"/>
                <w:lang w:val="zh-CN"/>
              </w:rPr>
              <w:t xml:space="preserve">  -84,408,222.13 </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sz w:val="21"/>
                <w:szCs w:val="21"/>
              </w:rPr>
            </w:pPr>
            <w:r>
              <w:rPr>
                <w:rFonts w:hint="eastAsia" w:ascii="宋体" w:hAnsi="宋体" w:eastAsia="宋体" w:cs="宋体"/>
                <w:sz w:val="21"/>
                <w:szCs w:val="21"/>
                <w:lang w:val="zh-CN"/>
              </w:rPr>
              <w:t>-35.25%</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adjustRightInd w:val="0"/>
              <w:spacing w:before="0" w:after="0"/>
              <w:rPr>
                <w:rFonts w:hint="eastAsia" w:ascii="宋体" w:hAnsi="宋体" w:eastAsia="宋体" w:cs="宋体"/>
                <w:color w:val="000000"/>
                <w:sz w:val="21"/>
                <w:szCs w:val="21"/>
              </w:rPr>
            </w:pPr>
            <w:r>
              <w:rPr>
                <w:rFonts w:hint="eastAsia" w:ascii="宋体" w:hAnsi="宋体" w:eastAsia="宋体" w:cs="宋体"/>
                <w:sz w:val="21"/>
                <w:szCs w:val="21"/>
                <w:lang w:val="zh-CN"/>
              </w:rPr>
              <w:t xml:space="preserve">主要是工程完工结算结转所致。 </w:t>
            </w:r>
          </w:p>
        </w:tc>
      </w:tr>
      <w:tr>
        <w:tblPrEx>
          <w:tblCellMar>
            <w:top w:w="0" w:type="dxa"/>
            <w:left w:w="0" w:type="dxa"/>
            <w:bottom w:w="0" w:type="dxa"/>
            <w:right w:w="0" w:type="dxa"/>
          </w:tblCellMar>
        </w:tblPrEx>
        <w:trPr>
          <w:trHeight w:val="734" w:hRule="atLeast"/>
          <w:jc w:val="center"/>
        </w:trPr>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使用权资产</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38,941,452.83 </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   </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38,941,452.83 </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 xml:space="preserve">主要是执行新租赁准则所致。 </w:t>
            </w:r>
          </w:p>
        </w:tc>
      </w:tr>
      <w:tr>
        <w:tblPrEx>
          <w:tblCellMar>
            <w:top w:w="0" w:type="dxa"/>
            <w:left w:w="0" w:type="dxa"/>
            <w:bottom w:w="0" w:type="dxa"/>
            <w:right w:w="0" w:type="dxa"/>
          </w:tblCellMar>
        </w:tblPrEx>
        <w:trPr>
          <w:trHeight w:val="674" w:hRule="atLeast"/>
          <w:jc w:val="center"/>
        </w:trPr>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rPr>
                <w:rFonts w:hint="eastAsia" w:ascii="宋体" w:hAnsi="宋体" w:eastAsia="宋体" w:cs="宋体"/>
                <w:color w:val="000000"/>
                <w:kern w:val="0"/>
                <w:sz w:val="21"/>
                <w:szCs w:val="21"/>
                <w:lang w:bidi="ar"/>
              </w:rPr>
            </w:pPr>
            <w:r>
              <w:rPr>
                <w:rFonts w:hint="eastAsia" w:ascii="宋体" w:hAnsi="宋体" w:eastAsia="宋体" w:cs="宋体"/>
                <w:sz w:val="21"/>
                <w:szCs w:val="21"/>
                <w:lang w:val="zh-CN"/>
              </w:rPr>
              <w:t>其他非流动资产</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kern w:val="0"/>
                <w:sz w:val="21"/>
                <w:szCs w:val="21"/>
                <w:lang w:bidi="ar"/>
              </w:rPr>
            </w:pPr>
            <w:r>
              <w:rPr>
                <w:rFonts w:hint="eastAsia" w:ascii="宋体" w:hAnsi="宋体" w:eastAsia="宋体" w:cs="宋体"/>
                <w:color w:val="000000"/>
                <w:sz w:val="21"/>
                <w:szCs w:val="21"/>
              </w:rPr>
              <w:t xml:space="preserve">   30,249,765.26 </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kern w:val="0"/>
                <w:sz w:val="21"/>
                <w:szCs w:val="21"/>
                <w:lang w:bidi="ar"/>
              </w:rPr>
            </w:pPr>
            <w:r>
              <w:rPr>
                <w:rFonts w:hint="eastAsia" w:ascii="宋体" w:hAnsi="宋体" w:eastAsia="宋体" w:cs="宋体"/>
                <w:color w:val="000000"/>
                <w:sz w:val="21"/>
                <w:szCs w:val="21"/>
              </w:rPr>
              <w:t xml:space="preserve">    56,328,113.83 </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kern w:val="0"/>
                <w:sz w:val="21"/>
                <w:szCs w:val="21"/>
                <w:lang w:bidi="ar"/>
              </w:rPr>
            </w:pPr>
            <w:r>
              <w:rPr>
                <w:rFonts w:hint="eastAsia" w:ascii="宋体" w:hAnsi="宋体" w:eastAsia="宋体" w:cs="宋体"/>
                <w:color w:val="000000"/>
                <w:sz w:val="21"/>
                <w:szCs w:val="21"/>
              </w:rPr>
              <w:t xml:space="preserve">  -26,078,348.57 </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kern w:val="0"/>
                <w:sz w:val="21"/>
                <w:szCs w:val="21"/>
                <w:lang w:bidi="ar"/>
              </w:rPr>
            </w:pPr>
            <w:r>
              <w:rPr>
                <w:rFonts w:hint="eastAsia" w:ascii="宋体" w:hAnsi="宋体" w:eastAsia="宋体" w:cs="宋体"/>
                <w:color w:val="000000"/>
                <w:sz w:val="21"/>
                <w:szCs w:val="21"/>
              </w:rPr>
              <w:t>-46.30%</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adjustRightInd w:val="0"/>
              <w:spacing w:before="0" w:after="0"/>
              <w:rPr>
                <w:rFonts w:hint="eastAsia" w:ascii="宋体" w:hAnsi="宋体" w:eastAsia="宋体" w:cs="宋体"/>
                <w:color w:val="000000"/>
                <w:kern w:val="0"/>
                <w:sz w:val="21"/>
                <w:szCs w:val="21"/>
                <w:lang w:bidi="ar"/>
              </w:rPr>
            </w:pPr>
            <w:r>
              <w:rPr>
                <w:rFonts w:hint="eastAsia" w:ascii="宋体" w:hAnsi="宋体" w:eastAsia="宋体" w:cs="宋体"/>
                <w:sz w:val="21"/>
                <w:szCs w:val="21"/>
                <w:lang w:val="zh-CN"/>
              </w:rPr>
              <w:t>主要</w:t>
            </w:r>
            <w:r>
              <w:rPr>
                <w:rFonts w:hint="eastAsia" w:ascii="宋体" w:hAnsi="宋体" w:cs="宋体"/>
                <w:sz w:val="21"/>
                <w:szCs w:val="21"/>
                <w:lang w:val="zh-CN"/>
              </w:rPr>
              <w:t>是</w:t>
            </w:r>
            <w:r>
              <w:rPr>
                <w:rFonts w:hint="eastAsia" w:ascii="宋体" w:hAnsi="宋体" w:eastAsia="宋体" w:cs="宋体"/>
                <w:sz w:val="21"/>
                <w:szCs w:val="21"/>
                <w:lang w:val="zh-CN"/>
              </w:rPr>
              <w:t xml:space="preserve">预付长期资产款结转所致。 </w:t>
            </w:r>
          </w:p>
        </w:tc>
      </w:tr>
      <w:tr>
        <w:tblPrEx>
          <w:tblCellMar>
            <w:top w:w="0" w:type="dxa"/>
            <w:left w:w="0" w:type="dxa"/>
            <w:bottom w:w="0" w:type="dxa"/>
            <w:right w:w="0" w:type="dxa"/>
          </w:tblCellMar>
        </w:tblPrEx>
        <w:trPr>
          <w:trHeight w:val="659" w:hRule="atLeast"/>
          <w:jc w:val="center"/>
        </w:trPr>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rPr>
                <w:rFonts w:hint="eastAsia" w:ascii="宋体" w:hAnsi="宋体" w:eastAsia="宋体" w:cs="宋体"/>
                <w:color w:val="000000"/>
                <w:sz w:val="21"/>
                <w:szCs w:val="21"/>
              </w:rPr>
            </w:pPr>
            <w:r>
              <w:rPr>
                <w:rFonts w:hint="eastAsia" w:ascii="宋体" w:hAnsi="宋体" w:eastAsia="宋体" w:cs="宋体"/>
                <w:sz w:val="21"/>
                <w:szCs w:val="21"/>
                <w:lang w:val="zh-CN"/>
              </w:rPr>
              <w:t>应付票据</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sz w:val="21"/>
                <w:szCs w:val="21"/>
              </w:rPr>
            </w:pPr>
            <w:r>
              <w:rPr>
                <w:rFonts w:hint="eastAsia" w:ascii="宋体" w:hAnsi="宋体" w:eastAsia="宋体" w:cs="宋体"/>
                <w:sz w:val="21"/>
                <w:szCs w:val="21"/>
                <w:lang w:val="zh-CN"/>
              </w:rPr>
              <w:t xml:space="preserve">             -   </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sz w:val="21"/>
                <w:szCs w:val="21"/>
              </w:rPr>
            </w:pPr>
            <w:r>
              <w:rPr>
                <w:rFonts w:hint="eastAsia" w:ascii="宋体" w:hAnsi="宋体" w:eastAsia="宋体" w:cs="宋体"/>
                <w:sz w:val="21"/>
                <w:szCs w:val="21"/>
                <w:lang w:val="zh-CN"/>
              </w:rPr>
              <w:t xml:space="preserve">    12,096,200.94 </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sz w:val="21"/>
                <w:szCs w:val="21"/>
              </w:rPr>
            </w:pPr>
            <w:r>
              <w:rPr>
                <w:rFonts w:hint="eastAsia" w:ascii="宋体" w:hAnsi="宋体" w:eastAsia="宋体" w:cs="宋体"/>
                <w:sz w:val="21"/>
                <w:szCs w:val="21"/>
                <w:lang w:val="zh-CN"/>
              </w:rPr>
              <w:t xml:space="preserve">  -12,096,200.94 </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sz w:val="21"/>
                <w:szCs w:val="21"/>
              </w:rPr>
            </w:pPr>
            <w:r>
              <w:rPr>
                <w:rFonts w:hint="eastAsia" w:ascii="宋体" w:hAnsi="宋体" w:eastAsia="宋体" w:cs="宋体"/>
                <w:sz w:val="21"/>
                <w:szCs w:val="21"/>
                <w:lang w:val="zh-CN"/>
              </w:rPr>
              <w:t>-100.00%</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adjustRightInd w:val="0"/>
              <w:spacing w:before="0" w:after="0"/>
              <w:rPr>
                <w:rFonts w:hint="eastAsia" w:ascii="宋体" w:hAnsi="宋体" w:eastAsia="宋体" w:cs="宋体"/>
                <w:color w:val="000000"/>
                <w:sz w:val="21"/>
                <w:szCs w:val="21"/>
              </w:rPr>
            </w:pPr>
            <w:r>
              <w:rPr>
                <w:rFonts w:hint="eastAsia" w:ascii="宋体" w:hAnsi="宋体" w:eastAsia="宋体" w:cs="宋体"/>
                <w:sz w:val="21"/>
                <w:szCs w:val="21"/>
                <w:lang w:val="zh-CN"/>
              </w:rPr>
              <w:t xml:space="preserve">主要是银行承兑汇票承兑所致。 </w:t>
            </w:r>
          </w:p>
        </w:tc>
      </w:tr>
      <w:tr>
        <w:tblPrEx>
          <w:tblCellMar>
            <w:top w:w="0" w:type="dxa"/>
            <w:left w:w="0" w:type="dxa"/>
            <w:bottom w:w="0" w:type="dxa"/>
            <w:right w:w="0" w:type="dxa"/>
          </w:tblCellMar>
        </w:tblPrEx>
        <w:trPr>
          <w:trHeight w:val="779" w:hRule="atLeast"/>
          <w:jc w:val="center"/>
        </w:trPr>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rPr>
                <w:rFonts w:hint="eastAsia" w:ascii="宋体" w:hAnsi="宋体" w:eastAsia="宋体" w:cs="宋体"/>
                <w:color w:val="000000"/>
                <w:sz w:val="21"/>
                <w:szCs w:val="21"/>
              </w:rPr>
            </w:pPr>
            <w:r>
              <w:rPr>
                <w:rFonts w:hint="eastAsia" w:ascii="宋体" w:hAnsi="宋体" w:eastAsia="宋体" w:cs="宋体"/>
                <w:sz w:val="21"/>
                <w:szCs w:val="21"/>
                <w:lang w:val="zh-CN"/>
              </w:rPr>
              <w:t>长期借款</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sz w:val="21"/>
                <w:szCs w:val="21"/>
              </w:rPr>
            </w:pPr>
            <w:r>
              <w:rPr>
                <w:rFonts w:hint="eastAsia" w:ascii="宋体" w:hAnsi="宋体" w:eastAsia="宋体" w:cs="宋体"/>
                <w:sz w:val="21"/>
                <w:szCs w:val="21"/>
                <w:lang w:val="zh-CN"/>
              </w:rPr>
              <w:t xml:space="preserve">  663,625,118.20 </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sz w:val="21"/>
                <w:szCs w:val="21"/>
              </w:rPr>
            </w:pPr>
            <w:r>
              <w:rPr>
                <w:rFonts w:hint="eastAsia" w:ascii="宋体" w:hAnsi="宋体" w:eastAsia="宋体" w:cs="宋体"/>
                <w:sz w:val="21"/>
                <w:szCs w:val="21"/>
                <w:lang w:val="zh-CN"/>
              </w:rPr>
              <w:t xml:space="preserve">   506,558,610.74 </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sz w:val="21"/>
                <w:szCs w:val="21"/>
              </w:rPr>
            </w:pPr>
            <w:r>
              <w:rPr>
                <w:rFonts w:hint="eastAsia" w:ascii="宋体" w:hAnsi="宋体" w:eastAsia="宋体" w:cs="宋体"/>
                <w:sz w:val="21"/>
                <w:szCs w:val="21"/>
                <w:lang w:val="zh-CN"/>
              </w:rPr>
              <w:t xml:space="preserve">  157,066,507.46 </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sz w:val="21"/>
                <w:szCs w:val="21"/>
              </w:rPr>
            </w:pPr>
            <w:r>
              <w:rPr>
                <w:rFonts w:hint="eastAsia" w:ascii="宋体" w:hAnsi="宋体" w:eastAsia="宋体" w:cs="宋体"/>
                <w:sz w:val="21"/>
                <w:szCs w:val="21"/>
                <w:lang w:val="zh-CN"/>
              </w:rPr>
              <w:t>31.01%</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adjustRightInd w:val="0"/>
              <w:spacing w:before="0" w:after="0"/>
              <w:rPr>
                <w:rFonts w:hint="eastAsia" w:ascii="宋体" w:hAnsi="宋体" w:eastAsia="宋体" w:cs="宋体"/>
                <w:color w:val="000000"/>
                <w:sz w:val="21"/>
                <w:szCs w:val="21"/>
              </w:rPr>
            </w:pPr>
            <w:r>
              <w:rPr>
                <w:rFonts w:hint="eastAsia" w:ascii="宋体" w:hAnsi="宋体" w:eastAsia="宋体" w:cs="宋体"/>
                <w:sz w:val="21"/>
                <w:szCs w:val="21"/>
                <w:lang w:val="zh-CN"/>
              </w:rPr>
              <w:t xml:space="preserve">主要是增加工程项目贷款所致。 </w:t>
            </w:r>
          </w:p>
        </w:tc>
      </w:tr>
      <w:tr>
        <w:tblPrEx>
          <w:tblCellMar>
            <w:top w:w="0" w:type="dxa"/>
            <w:left w:w="0" w:type="dxa"/>
            <w:bottom w:w="0" w:type="dxa"/>
            <w:right w:w="0" w:type="dxa"/>
          </w:tblCellMar>
        </w:tblPrEx>
        <w:trPr>
          <w:trHeight w:val="734" w:hRule="atLeast"/>
          <w:jc w:val="center"/>
        </w:trPr>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租赁负债</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33,177,029.90 </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   </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33,177,029.90 </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 xml:space="preserve">主要是执行新租赁准则所致。 </w:t>
            </w:r>
          </w:p>
        </w:tc>
      </w:tr>
      <w:tr>
        <w:tblPrEx>
          <w:tblCellMar>
            <w:top w:w="0" w:type="dxa"/>
            <w:left w:w="0" w:type="dxa"/>
            <w:bottom w:w="0" w:type="dxa"/>
            <w:right w:w="0" w:type="dxa"/>
          </w:tblCellMar>
        </w:tblPrEx>
        <w:trPr>
          <w:trHeight w:val="734" w:hRule="atLeast"/>
          <w:jc w:val="center"/>
        </w:trPr>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rPr>
                <w:rFonts w:hint="eastAsia" w:ascii="宋体" w:hAnsi="宋体" w:eastAsia="宋体" w:cs="宋体"/>
                <w:color w:val="000000"/>
                <w:sz w:val="21"/>
                <w:szCs w:val="21"/>
              </w:rPr>
            </w:pPr>
            <w:r>
              <w:rPr>
                <w:rFonts w:hint="eastAsia" w:ascii="宋体" w:hAnsi="宋体" w:eastAsia="宋体" w:cs="宋体"/>
                <w:sz w:val="21"/>
                <w:szCs w:val="21"/>
                <w:lang w:val="zh-CN"/>
              </w:rPr>
              <w:t xml:space="preserve">一年内到期的非流动资产 </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default" w:ascii="宋体" w:hAnsi="宋体" w:eastAsia="宋体" w:cs="宋体"/>
                <w:sz w:val="21"/>
                <w:szCs w:val="21"/>
                <w:lang w:val="zh-CN"/>
              </w:rPr>
            </w:pPr>
            <w:r>
              <w:rPr>
                <w:rFonts w:hint="eastAsia" w:ascii="宋体" w:hAnsi="宋体" w:eastAsia="宋体" w:cs="宋体"/>
                <w:sz w:val="21"/>
                <w:szCs w:val="21"/>
                <w:lang w:val="zh-CN"/>
              </w:rPr>
              <w:t xml:space="preserve"> </w:t>
            </w:r>
          </w:p>
          <w:p>
            <w:pPr>
              <w:autoSpaceDE w:val="0"/>
              <w:autoSpaceDN w:val="0"/>
              <w:adjustRightInd w:val="0"/>
              <w:spacing w:before="0" w:after="0"/>
              <w:jc w:val="right"/>
              <w:rPr>
                <w:rFonts w:hint="default" w:ascii="宋体" w:hAnsi="宋体" w:eastAsia="宋体" w:cs="宋体"/>
                <w:sz w:val="21"/>
                <w:szCs w:val="21"/>
                <w:lang w:val="zh-CN"/>
              </w:rPr>
            </w:pPr>
            <w:r>
              <w:rPr>
                <w:rFonts w:hint="eastAsia" w:ascii="宋体" w:hAnsi="宋体" w:eastAsia="宋体" w:cs="宋体"/>
                <w:sz w:val="21"/>
                <w:szCs w:val="21"/>
                <w:lang w:val="zh-CN"/>
              </w:rPr>
              <w:t xml:space="preserve">    1,204,423.73 </w:t>
            </w:r>
          </w:p>
          <w:p>
            <w:pPr>
              <w:autoSpaceDE w:val="0"/>
              <w:autoSpaceDN w:val="0"/>
              <w:adjustRightInd w:val="0"/>
              <w:spacing w:before="0" w:after="0"/>
              <w:jc w:val="right"/>
              <w:rPr>
                <w:rFonts w:hint="eastAsia" w:ascii="宋体" w:hAnsi="宋体" w:eastAsia="宋体" w:cs="宋体"/>
                <w:color w:val="000000"/>
                <w:sz w:val="21"/>
                <w:szCs w:val="21"/>
              </w:rPr>
            </w:pPr>
            <w:r>
              <w:rPr>
                <w:rFonts w:hint="eastAsia" w:ascii="宋体" w:hAnsi="宋体" w:eastAsia="宋体" w:cs="宋体"/>
                <w:sz w:val="21"/>
                <w:szCs w:val="21"/>
                <w:lang w:val="zh-CN"/>
              </w:rPr>
              <w:t xml:space="preserve"> </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sz w:val="21"/>
                <w:szCs w:val="21"/>
              </w:rPr>
            </w:pPr>
            <w:r>
              <w:rPr>
                <w:rFonts w:hint="eastAsia" w:ascii="宋体" w:hAnsi="宋体" w:eastAsia="宋体" w:cs="宋体"/>
                <w:sz w:val="21"/>
                <w:szCs w:val="21"/>
                <w:lang w:val="zh-CN"/>
              </w:rPr>
              <w:t xml:space="preserve">     1,903,624.61 </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sz w:val="21"/>
                <w:szCs w:val="21"/>
              </w:rPr>
            </w:pPr>
            <w:r>
              <w:rPr>
                <w:rFonts w:hint="eastAsia" w:ascii="宋体" w:hAnsi="宋体" w:eastAsia="宋体" w:cs="宋体"/>
                <w:sz w:val="21"/>
                <w:szCs w:val="21"/>
                <w:lang w:val="zh-CN"/>
              </w:rPr>
              <w:t xml:space="preserve">     -699,200.88 </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color w:val="000000"/>
                <w:sz w:val="21"/>
                <w:szCs w:val="21"/>
              </w:rPr>
            </w:pPr>
            <w:r>
              <w:rPr>
                <w:rFonts w:hint="eastAsia" w:ascii="宋体" w:hAnsi="宋体" w:eastAsia="宋体" w:cs="宋体"/>
                <w:sz w:val="21"/>
                <w:szCs w:val="21"/>
                <w:lang w:val="zh-CN"/>
              </w:rPr>
              <w:t>-36.73%</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adjustRightInd w:val="0"/>
              <w:spacing w:before="0" w:after="0"/>
              <w:rPr>
                <w:rFonts w:hint="eastAsia" w:ascii="宋体" w:hAnsi="宋体" w:eastAsia="宋体" w:cs="宋体"/>
                <w:color w:val="000000"/>
                <w:sz w:val="21"/>
                <w:szCs w:val="21"/>
              </w:rPr>
            </w:pPr>
            <w:r>
              <w:rPr>
                <w:rFonts w:hint="eastAsia" w:ascii="宋体" w:hAnsi="宋体" w:eastAsia="宋体" w:cs="宋体"/>
                <w:sz w:val="21"/>
                <w:szCs w:val="21"/>
                <w:lang w:val="zh-CN"/>
              </w:rPr>
              <w:t xml:space="preserve">主要是应收利息收回所致。 </w:t>
            </w:r>
          </w:p>
        </w:tc>
      </w:tr>
      <w:tr>
        <w:tblPrEx>
          <w:tblCellMar>
            <w:top w:w="0" w:type="dxa"/>
            <w:left w:w="0" w:type="dxa"/>
            <w:bottom w:w="0" w:type="dxa"/>
            <w:right w:w="0" w:type="dxa"/>
          </w:tblCellMar>
        </w:tblPrEx>
        <w:trPr>
          <w:trHeight w:val="360" w:hRule="atLeast"/>
          <w:jc w:val="center"/>
        </w:trPr>
        <w:tc>
          <w:tcPr>
            <w:tcW w:w="1617"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w:t>
            </w:r>
          </w:p>
        </w:tc>
        <w:tc>
          <w:tcPr>
            <w:tcW w:w="1875"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本期发生数</w:t>
            </w:r>
          </w:p>
        </w:tc>
        <w:tc>
          <w:tcPr>
            <w:tcW w:w="1830"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上期发生数</w:t>
            </w:r>
          </w:p>
        </w:tc>
        <w:tc>
          <w:tcPr>
            <w:tcW w:w="1860"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增减变动额</w:t>
            </w:r>
          </w:p>
        </w:tc>
        <w:tc>
          <w:tcPr>
            <w:tcW w:w="1309"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增减</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变动率</w:t>
            </w:r>
          </w:p>
        </w:tc>
        <w:tc>
          <w:tcPr>
            <w:tcW w:w="1844"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变动原因说明</w:t>
            </w:r>
          </w:p>
        </w:tc>
      </w:tr>
      <w:tr>
        <w:tblPrEx>
          <w:tblCellMar>
            <w:top w:w="0" w:type="dxa"/>
            <w:left w:w="0" w:type="dxa"/>
            <w:bottom w:w="0" w:type="dxa"/>
            <w:right w:w="0" w:type="dxa"/>
          </w:tblCellMar>
        </w:tblPrEx>
        <w:trPr>
          <w:trHeight w:val="330" w:hRule="atLeast"/>
          <w:jc w:val="center"/>
        </w:trPr>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营业收入</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519,894,371.36 </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385,249,480.81 </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134,644,890.55 </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34.95%</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 xml:space="preserve">主要是本年受疫情影响较少，收入同比增加。 </w:t>
            </w:r>
          </w:p>
        </w:tc>
      </w:tr>
      <w:tr>
        <w:tblPrEx>
          <w:tblCellMar>
            <w:top w:w="0" w:type="dxa"/>
            <w:left w:w="0" w:type="dxa"/>
            <w:bottom w:w="0" w:type="dxa"/>
            <w:right w:w="0" w:type="dxa"/>
          </w:tblCellMar>
        </w:tblPrEx>
        <w:trPr>
          <w:trHeight w:val="764" w:hRule="atLeast"/>
          <w:jc w:val="center"/>
        </w:trPr>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销售费用</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10,499,931.56 </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15,353,018.05 </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-4,853,086.49 </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-31.61%</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 xml:space="preserve">主要是公司子公司中港客运联营有限公司受疫情影响香港航线停航所致。 </w:t>
            </w:r>
          </w:p>
        </w:tc>
      </w:tr>
      <w:tr>
        <w:tblPrEx>
          <w:tblCellMar>
            <w:top w:w="0" w:type="dxa"/>
            <w:left w:w="0" w:type="dxa"/>
            <w:bottom w:w="0" w:type="dxa"/>
            <w:right w:w="0" w:type="dxa"/>
          </w:tblCellMar>
        </w:tblPrEx>
        <w:trPr>
          <w:trHeight w:val="685" w:hRule="atLeast"/>
          <w:jc w:val="center"/>
        </w:trPr>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管理费用</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45,495,001.30 </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26,579,507.91 </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18,915,493.39 </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71.17%</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 xml:space="preserve">主要是各项管理费用增加所致。 </w:t>
            </w:r>
          </w:p>
        </w:tc>
      </w:tr>
      <w:tr>
        <w:tblPrEx>
          <w:tblCellMar>
            <w:top w:w="0" w:type="dxa"/>
            <w:left w:w="0" w:type="dxa"/>
            <w:bottom w:w="0" w:type="dxa"/>
            <w:right w:w="0" w:type="dxa"/>
          </w:tblCellMar>
        </w:tblPrEx>
        <w:trPr>
          <w:trHeight w:val="784" w:hRule="atLeast"/>
          <w:jc w:val="center"/>
        </w:trPr>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其他收益</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5,846,235.10 </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634,025.09 </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5,212,210.01 </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822.08%</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 xml:space="preserve">主要是政府补助增加所致。 </w:t>
            </w:r>
          </w:p>
        </w:tc>
      </w:tr>
      <w:tr>
        <w:tblPrEx>
          <w:tblCellMar>
            <w:top w:w="0" w:type="dxa"/>
            <w:left w:w="0" w:type="dxa"/>
            <w:bottom w:w="0" w:type="dxa"/>
            <w:right w:w="0" w:type="dxa"/>
          </w:tblCellMar>
        </w:tblPrEx>
        <w:trPr>
          <w:trHeight w:val="739" w:hRule="atLeast"/>
          <w:jc w:val="center"/>
        </w:trPr>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营业外支出</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243,559.89 </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2,078,969.18 </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-1,835,409.29 </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-88.28%</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 xml:space="preserve">主要是上期计提补偿款所致。 </w:t>
            </w:r>
          </w:p>
        </w:tc>
      </w:tr>
      <w:tr>
        <w:tblPrEx>
          <w:tblCellMar>
            <w:top w:w="0" w:type="dxa"/>
            <w:left w:w="0" w:type="dxa"/>
            <w:bottom w:w="0" w:type="dxa"/>
            <w:right w:w="0" w:type="dxa"/>
          </w:tblCellMar>
        </w:tblPrEx>
        <w:trPr>
          <w:trHeight w:val="769" w:hRule="atLeast"/>
          <w:jc w:val="center"/>
        </w:trPr>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所得税费用</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color w:val="000000"/>
                <w:sz w:val="21"/>
                <w:szCs w:val="21"/>
              </w:rPr>
              <w:t xml:space="preserve">   15,279,068.02 </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color w:val="000000"/>
                <w:sz w:val="21"/>
                <w:szCs w:val="21"/>
              </w:rPr>
              <w:t xml:space="preserve">     8,994,745.49 </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color w:val="000000"/>
                <w:sz w:val="21"/>
                <w:szCs w:val="21"/>
              </w:rPr>
              <w:t xml:space="preserve">    6,284,322.53 </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color w:val="000000"/>
                <w:sz w:val="21"/>
                <w:szCs w:val="21"/>
              </w:rPr>
              <w:t>69.87%</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 xml:space="preserve">主要是营业利润增加所致。 </w:t>
            </w:r>
          </w:p>
        </w:tc>
      </w:tr>
      <w:tr>
        <w:tblPrEx>
          <w:tblCellMar>
            <w:top w:w="0" w:type="dxa"/>
            <w:left w:w="0" w:type="dxa"/>
            <w:bottom w:w="0" w:type="dxa"/>
            <w:right w:w="0" w:type="dxa"/>
          </w:tblCellMar>
        </w:tblPrEx>
        <w:trPr>
          <w:trHeight w:val="855" w:hRule="atLeast"/>
          <w:jc w:val="center"/>
        </w:trPr>
        <w:tc>
          <w:tcPr>
            <w:tcW w:w="161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少数股东损益</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-3,574,038.11 </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-5,884,455.31 </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2,310,417.20 </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39.26%</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 xml:space="preserve"> 主要是公司子公司中港客运联营有限公司减少亏损所致。 </w:t>
            </w:r>
          </w:p>
        </w:tc>
      </w:tr>
      <w:tr>
        <w:tblPrEx>
          <w:tblCellMar>
            <w:top w:w="0" w:type="dxa"/>
            <w:left w:w="0" w:type="dxa"/>
            <w:bottom w:w="0" w:type="dxa"/>
            <w:right w:w="0" w:type="dxa"/>
          </w:tblCellMar>
        </w:tblPrEx>
        <w:trPr>
          <w:trHeight w:val="855" w:hRule="atLeast"/>
          <w:jc w:val="center"/>
        </w:trPr>
        <w:tc>
          <w:tcPr>
            <w:tcW w:w="161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经营活动产生的现金流量净额</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105,316,497.27 </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-31,875,700.94 </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137,192,198.21 </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430.40%</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 xml:space="preserve">主要是营业收入增加所致。 </w:t>
            </w:r>
          </w:p>
        </w:tc>
      </w:tr>
      <w:tr>
        <w:tblPrEx>
          <w:tblCellMar>
            <w:top w:w="0" w:type="dxa"/>
            <w:left w:w="0" w:type="dxa"/>
            <w:bottom w:w="0" w:type="dxa"/>
            <w:right w:w="0" w:type="dxa"/>
          </w:tblCellMar>
        </w:tblPrEx>
        <w:trPr>
          <w:trHeight w:val="895" w:hRule="atLeast"/>
          <w:jc w:val="center"/>
        </w:trPr>
        <w:tc>
          <w:tcPr>
            <w:tcW w:w="1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投资活动产生的现金流量净额</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-188,563,635.80 </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-397,173,214.03 </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208,609,578.23 </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52.52%</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主要是投资支出（银行理财）减少所致。</w:t>
            </w:r>
          </w:p>
        </w:tc>
      </w:tr>
      <w:tr>
        <w:tblPrEx>
          <w:tblCellMar>
            <w:top w:w="0" w:type="dxa"/>
            <w:left w:w="0" w:type="dxa"/>
            <w:bottom w:w="0" w:type="dxa"/>
            <w:right w:w="0" w:type="dxa"/>
          </w:tblCellMar>
        </w:tblPrEx>
        <w:trPr>
          <w:trHeight w:val="945" w:hRule="atLeast"/>
          <w:jc w:val="center"/>
        </w:trPr>
        <w:tc>
          <w:tcPr>
            <w:tcW w:w="1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筹资活动产生的现金流量净额</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134,653,195.44 </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374,454,302.30 </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 xml:space="preserve"> -239,801,106.86 </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spacing w:before="0" w:after="0"/>
              <w:jc w:val="right"/>
              <w:rPr>
                <w:rFonts w:hint="eastAsia" w:ascii="宋体" w:hAnsi="宋体" w:eastAsia="宋体" w:cs="宋体"/>
                <w:sz w:val="21"/>
                <w:szCs w:val="21"/>
                <w:lang w:val="zh-CN"/>
              </w:rPr>
            </w:pPr>
            <w:r>
              <w:rPr>
                <w:rFonts w:hint="eastAsia" w:ascii="宋体" w:hAnsi="宋体" w:eastAsia="宋体" w:cs="宋体"/>
                <w:sz w:val="21"/>
                <w:szCs w:val="21"/>
                <w:lang w:val="zh-CN"/>
              </w:rPr>
              <w:t>-64.04%</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adjustRightInd w:val="0"/>
              <w:spacing w:before="0" w:after="0"/>
              <w:rPr>
                <w:rFonts w:hint="eastAsia" w:ascii="宋体" w:hAnsi="宋体" w:eastAsia="宋体" w:cs="宋体"/>
                <w:sz w:val="21"/>
                <w:szCs w:val="21"/>
                <w:lang w:val="zh-CN"/>
              </w:rPr>
            </w:pPr>
            <w:r>
              <w:rPr>
                <w:rFonts w:hint="eastAsia" w:ascii="宋体" w:hAnsi="宋体" w:eastAsia="宋体" w:cs="宋体"/>
                <w:sz w:val="21"/>
                <w:szCs w:val="21"/>
                <w:lang w:val="zh-CN"/>
              </w:rPr>
              <w:t xml:space="preserve">主要是取得借款收到的现金减少所致。 </w:t>
            </w:r>
          </w:p>
        </w:tc>
      </w:tr>
    </w:tbl>
    <w:p>
      <w:pPr>
        <w:pStyle w:val="7"/>
        <w:spacing w:before="0" w:beforeLines="-2147483648" w:after="0" w:afterLines="-2147483648" w:line="360" w:lineRule="auto"/>
        <w:outlineLvl w:val="1"/>
        <w:rPr>
          <w:rFonts w:hint="eastAsia" w:ascii="宋体" w:hAnsi="宋体" w:cs="宋体"/>
          <w:bCs/>
          <w:szCs w:val="24"/>
          <w:lang w:bidi="ar-SA"/>
        </w:rPr>
      </w:pPr>
      <w:r>
        <w:rPr>
          <w:rFonts w:hint="eastAsia" w:ascii="宋体" w:hAnsi="宋体" w:cs="宋体"/>
          <w:bCs/>
          <w:szCs w:val="24"/>
          <w:lang w:bidi="ar-SA"/>
        </w:rPr>
        <w:t>二、重要事项进展情况及其影响和解决方案的分析说明</w:t>
      </w:r>
    </w:p>
    <w:p>
      <w:pPr>
        <w:spacing w:before="0" w:beforeLines="-2147483648" w:after="0" w:afterLines="-2147483648" w:line="360" w:lineRule="auto"/>
        <w:jc w:val="left"/>
        <w:rPr>
          <w:rFonts w:hint="eastAsia" w:ascii="宋体" w:hAnsi="宋体" w:cs="宋体"/>
          <w:sz w:val="24"/>
          <w:szCs w:val="24"/>
          <w:lang w:bidi="ar-SA"/>
        </w:rPr>
      </w:pPr>
      <w:r>
        <w:rPr>
          <w:rFonts w:hint="eastAsia" w:ascii="宋体" w:hAnsi="宋体" w:cs="宋体"/>
          <w:sz w:val="24"/>
          <w:szCs w:val="24"/>
          <w:lang w:bidi="ar-SA"/>
        </w:rPr>
        <w:t xml:space="preserve">√ 适用 □ 不适用 </w:t>
      </w:r>
    </w:p>
    <w:p>
      <w:pPr>
        <w:autoSpaceDE w:val="0"/>
        <w:autoSpaceDN w:val="0"/>
        <w:adjustRightInd w:val="0"/>
        <w:spacing w:before="0" w:beforeLines="0" w:after="0" w:afterLines="0"/>
        <w:jc w:val="left"/>
        <w:rPr>
          <w:rFonts w:hint="eastAsia" w:ascii="宋体"/>
          <w:color w:val="auto"/>
          <w:sz w:val="18"/>
          <w:szCs w:val="24"/>
          <w:lang w:val="zh-CN"/>
        </w:rPr>
      </w:pPr>
      <w:r>
        <w:rPr>
          <w:rFonts w:hint="eastAsia" w:ascii="宋体"/>
          <w:color w:val="auto"/>
          <w:sz w:val="18"/>
          <w:szCs w:val="24"/>
          <w:lang w:val="zh-CN"/>
        </w:rPr>
        <w:t xml:space="preserve">   </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91"/>
        <w:gridCol w:w="3190"/>
        <w:gridCol w:w="3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重要事项概述</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披露日期</w:t>
            </w:r>
          </w:p>
        </w:tc>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临时报告披露网站查询索引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19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关于为中通和城水务（北京）有限公司提供融资担保的</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2021年01月04日</w:t>
            </w:r>
          </w:p>
        </w:tc>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巨潮资讯网（http://www.cninfo.com.cn）披露的《2020年第11次临时董事会决议公告》（公告编号：2020-070）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9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2021年01月04日</w:t>
            </w:r>
          </w:p>
        </w:tc>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巨潮资讯网（http://www.cninfo.com.cn）披露的《关于为中通和城水务（北京）有限公司提供融资担保的公告》（公告编号：2020-071）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19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2021年01月20日</w:t>
            </w:r>
          </w:p>
        </w:tc>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巨潮资讯网（http://www.cninfo.com.cn）披露的《2021年第1次临时股东大会决议公告》（公告编号：2021-002）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9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公司人力资源总监退休离职</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2021年03月02日</w:t>
            </w:r>
          </w:p>
        </w:tc>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巨潮资讯网（http://www.cninfo.com.cn）披露的《关于公司人力资源总监退休离职的公告》（公告编号：2021-006）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19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关于广州证券鲲鹏中山1号集合资产管理计划到期终止的事宜</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2021年03月10日</w:t>
            </w:r>
          </w:p>
        </w:tc>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巨潮资讯网（http://www.cninfo.com.cn）披露的《关于广州证券鲲鹏中山1号集合资产管理计划到期终止的提示性公告》（公告编号：2021-010）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关于董事会、监事会延期换届的事宜</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2021年03月23日</w:t>
            </w:r>
          </w:p>
        </w:tc>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巨潮资讯网（http://www.cninfo.com.cn）披露的《关于董事会、监事会延期换届的公告》（公告编号：2021-011）</w:t>
            </w:r>
          </w:p>
        </w:tc>
      </w:tr>
    </w:tbl>
    <w:p>
      <w:pPr>
        <w:spacing w:before="0" w:after="0" w:line="360" w:lineRule="auto"/>
        <w:jc w:val="left"/>
        <w:rPr>
          <w:rFonts w:hint="eastAsia" w:ascii="宋体" w:hAnsi="宋体"/>
          <w:sz w:val="24"/>
          <w:szCs w:val="24"/>
          <w:lang w:val="zh-CN"/>
        </w:rPr>
      </w:pPr>
      <w:r>
        <w:rPr>
          <w:rFonts w:hint="eastAsia" w:ascii="宋体" w:hAnsi="宋体"/>
          <w:sz w:val="24"/>
          <w:szCs w:val="24"/>
          <w:lang w:val="zh-CN"/>
        </w:rPr>
        <w:t>股份回购的实施进展情况</w:t>
      </w:r>
    </w:p>
    <w:p>
      <w:pPr>
        <w:spacing w:before="0" w:after="0" w:line="360" w:lineRule="auto"/>
        <w:jc w:val="left"/>
        <w:rPr>
          <w:rFonts w:hint="eastAsia" w:ascii="宋体" w:hAnsi="宋体"/>
          <w:sz w:val="24"/>
          <w:szCs w:val="24"/>
          <w:lang w:val="zh-CN"/>
        </w:rPr>
      </w:pPr>
      <w:r>
        <w:rPr>
          <w:rFonts w:hint="eastAsia" w:ascii="宋体" w:hAnsi="宋体"/>
          <w:sz w:val="24"/>
          <w:szCs w:val="24"/>
          <w:lang w:val="zh-CN"/>
        </w:rPr>
        <w:t xml:space="preserve">□ 适用 √ 不适用 </w:t>
      </w:r>
    </w:p>
    <w:p>
      <w:pPr>
        <w:spacing w:before="0" w:after="0" w:line="360" w:lineRule="auto"/>
        <w:jc w:val="left"/>
        <w:rPr>
          <w:rFonts w:hint="eastAsia" w:ascii="宋体" w:hAnsi="宋体"/>
          <w:sz w:val="24"/>
          <w:szCs w:val="24"/>
          <w:lang w:val="zh-CN"/>
        </w:rPr>
      </w:pPr>
      <w:r>
        <w:rPr>
          <w:rFonts w:hint="eastAsia" w:ascii="宋体" w:hAnsi="宋体"/>
          <w:sz w:val="24"/>
          <w:szCs w:val="24"/>
          <w:lang w:val="zh-CN"/>
        </w:rPr>
        <w:t>采用集中竞价方式减持回购股份的实施进展情况</w:t>
      </w:r>
    </w:p>
    <w:p>
      <w:pPr>
        <w:spacing w:before="0" w:after="0" w:line="360" w:lineRule="auto"/>
        <w:jc w:val="left"/>
        <w:rPr>
          <w:rFonts w:hint="eastAsia" w:ascii="宋体" w:hAnsi="宋体"/>
          <w:sz w:val="24"/>
          <w:szCs w:val="24"/>
          <w:lang w:val="zh-CN"/>
        </w:rPr>
      </w:pPr>
      <w:r>
        <w:rPr>
          <w:rFonts w:hint="eastAsia" w:ascii="宋体" w:hAnsi="宋体"/>
          <w:sz w:val="24"/>
          <w:szCs w:val="24"/>
          <w:lang w:val="zh-CN"/>
        </w:rPr>
        <w:t xml:space="preserve">□ 适用 √ 不适用 </w:t>
      </w:r>
    </w:p>
    <w:p>
      <w:pPr>
        <w:pStyle w:val="7"/>
        <w:spacing w:before="0" w:beforeLines="-2147483648" w:after="0" w:afterLines="-2147483648" w:line="360" w:lineRule="auto"/>
        <w:outlineLvl w:val="1"/>
        <w:rPr>
          <w:rFonts w:hint="eastAsia" w:ascii="宋体" w:hAnsi="宋体" w:cs="宋体"/>
          <w:bCs/>
          <w:szCs w:val="24"/>
          <w:lang w:bidi="ar-SA"/>
        </w:rPr>
      </w:pPr>
      <w:r>
        <w:rPr>
          <w:rFonts w:hint="eastAsia" w:ascii="宋体" w:hAnsi="宋体" w:cs="宋体"/>
          <w:bCs/>
          <w:szCs w:val="24"/>
          <w:lang w:bidi="ar-SA"/>
        </w:rPr>
        <w:t>三、公司实际控制人、股东、关联方、收购人以及公司等承诺相关方在报告期内超期未履行完毕的承诺事项</w:t>
      </w:r>
    </w:p>
    <w:p>
      <w:pPr>
        <w:spacing w:before="0" w:after="0" w:line="360" w:lineRule="auto"/>
        <w:jc w:val="left"/>
        <w:rPr>
          <w:rFonts w:hint="eastAsia" w:ascii="宋体" w:hAnsi="宋体" w:eastAsia="宋体"/>
          <w:sz w:val="24"/>
          <w:szCs w:val="24"/>
          <w:lang w:val="zh-CN"/>
        </w:rPr>
      </w:pPr>
      <w:r>
        <w:rPr>
          <w:rFonts w:hint="eastAsia" w:ascii="宋体" w:hAnsi="宋体" w:eastAsia="宋体"/>
          <w:sz w:val="24"/>
          <w:szCs w:val="24"/>
          <w:lang w:val="zh-CN"/>
        </w:rPr>
        <w:t xml:space="preserve">√ 适用 □ 不适用 </w:t>
      </w:r>
    </w:p>
    <w:tbl>
      <w:tblPr>
        <w:tblStyle w:val="5"/>
        <w:tblW w:w="100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30"/>
        <w:gridCol w:w="1275"/>
        <w:gridCol w:w="1125"/>
        <w:gridCol w:w="2777"/>
        <w:gridCol w:w="1185"/>
        <w:gridCol w:w="825"/>
        <w:gridCol w:w="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jc w:val="center"/>
        </w:trPr>
        <w:tc>
          <w:tcPr>
            <w:tcW w:w="20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ascii="宋体" w:hAnsi="宋体"/>
                <w:sz w:val="21"/>
              </w:rPr>
            </w:pPr>
            <w:r>
              <w:rPr>
                <w:rFonts w:hint="eastAsia" w:ascii="宋体" w:hAnsi="宋体"/>
                <w:sz w:val="21"/>
              </w:rPr>
              <w:t>承诺事由</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ascii="宋体" w:hAnsi="宋体"/>
                <w:sz w:val="21"/>
              </w:rPr>
            </w:pPr>
            <w:r>
              <w:rPr>
                <w:rFonts w:hint="eastAsia" w:ascii="宋体" w:hAnsi="宋体"/>
                <w:sz w:val="21"/>
              </w:rPr>
              <w:t>承诺方</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ascii="宋体" w:hAnsi="宋体"/>
                <w:sz w:val="21"/>
              </w:rPr>
            </w:pPr>
            <w:r>
              <w:rPr>
                <w:rFonts w:hint="eastAsia" w:ascii="宋体" w:hAnsi="宋体"/>
                <w:sz w:val="21"/>
              </w:rPr>
              <w:t>承诺类型</w:t>
            </w:r>
          </w:p>
        </w:tc>
        <w:tc>
          <w:tcPr>
            <w:tcW w:w="27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ascii="宋体" w:hAnsi="宋体"/>
                <w:sz w:val="21"/>
              </w:rPr>
            </w:pPr>
            <w:r>
              <w:rPr>
                <w:rFonts w:hint="eastAsia" w:ascii="宋体" w:hAnsi="宋体"/>
                <w:sz w:val="21"/>
              </w:rPr>
              <w:t>承诺内容</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ascii="宋体" w:hAnsi="宋体"/>
                <w:sz w:val="21"/>
              </w:rPr>
            </w:pPr>
            <w:r>
              <w:rPr>
                <w:rFonts w:hint="eastAsia" w:ascii="宋体" w:hAnsi="宋体"/>
                <w:sz w:val="21"/>
              </w:rPr>
              <w:t>承诺时间</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ascii="宋体" w:hAnsi="宋体"/>
                <w:sz w:val="21"/>
              </w:rPr>
            </w:pPr>
            <w:r>
              <w:rPr>
                <w:rFonts w:hint="eastAsia" w:ascii="宋体" w:hAnsi="宋体"/>
                <w:sz w:val="21"/>
              </w:rPr>
              <w:t>承诺期限</w:t>
            </w:r>
          </w:p>
        </w:tc>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ascii="宋体" w:hAnsi="宋体"/>
                <w:sz w:val="21"/>
              </w:rPr>
            </w:pPr>
            <w:r>
              <w:rPr>
                <w:rFonts w:hint="eastAsia" w:ascii="宋体" w:hAnsi="宋体"/>
                <w:sz w:val="21"/>
              </w:rPr>
              <w:t>履行情况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jc w:val="center"/>
        </w:trPr>
        <w:tc>
          <w:tcPr>
            <w:tcW w:w="20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ascii="宋体" w:hAnsi="宋体"/>
                <w:sz w:val="21"/>
              </w:rPr>
            </w:pPr>
            <w:r>
              <w:rPr>
                <w:rFonts w:hint="eastAsia" w:ascii="宋体" w:hAnsi="宋体"/>
                <w:sz w:val="21"/>
              </w:rPr>
              <w:t>股改承诺</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w:t>
            </w:r>
          </w:p>
        </w:tc>
        <w:tc>
          <w:tcPr>
            <w:tcW w:w="27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eastAsia="宋体"/>
                <w:sz w:val="21"/>
                <w:lang w:val="en-US" w:eastAsia="zh-CN"/>
              </w:rPr>
            </w:pPr>
            <w:r>
              <w:rPr>
                <w:rFonts w:hint="eastAsia" w:ascii="宋体" w:hAnsi="宋体"/>
                <w:sz w:val="21"/>
                <w:lang w:val="en-US" w:eastAsia="zh-CN"/>
              </w:rPr>
              <w:t>-</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w:t>
            </w:r>
          </w:p>
        </w:tc>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jc w:val="center"/>
        </w:trPr>
        <w:tc>
          <w:tcPr>
            <w:tcW w:w="20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ascii="宋体" w:hAnsi="宋体"/>
                <w:sz w:val="21"/>
              </w:rPr>
            </w:pPr>
            <w:r>
              <w:rPr>
                <w:rFonts w:hint="eastAsia" w:ascii="宋体" w:hAnsi="宋体"/>
                <w:sz w:val="21"/>
              </w:rPr>
              <w:t>收购报告书或权益变动报告书中所作承诺</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w:t>
            </w:r>
          </w:p>
        </w:tc>
        <w:tc>
          <w:tcPr>
            <w:tcW w:w="27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eastAsia="宋体"/>
                <w:sz w:val="21"/>
                <w:lang w:val="en-US" w:eastAsia="zh-CN"/>
              </w:rPr>
            </w:pPr>
            <w:r>
              <w:rPr>
                <w:rFonts w:hint="eastAsia" w:ascii="宋体" w:hAnsi="宋体"/>
                <w:sz w:val="21"/>
                <w:lang w:val="en-US" w:eastAsia="zh-CN"/>
              </w:rPr>
              <w:t>-</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w:t>
            </w:r>
          </w:p>
        </w:tc>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20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ascii="宋体" w:hAnsi="宋体"/>
                <w:sz w:val="21"/>
              </w:rPr>
            </w:pPr>
            <w:r>
              <w:rPr>
                <w:rFonts w:hint="eastAsia" w:ascii="宋体" w:hAnsi="宋体"/>
                <w:sz w:val="21"/>
              </w:rPr>
              <w:t>资产重组时所作承诺</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中汇集团</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5%以上股东承诺</w:t>
            </w:r>
          </w:p>
        </w:tc>
        <w:tc>
          <w:tcPr>
            <w:tcW w:w="27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中汇集团不从事、且中汇集团将通过法律程序确保中汇集团之其他全资、控股子企业均不从事任何在商业上与公用科技合并后经营的业务有直接竞争的业务。</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2007年11月08日</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长期</w:t>
            </w:r>
          </w:p>
        </w:tc>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履行中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jc w:val="center"/>
        </w:trPr>
        <w:tc>
          <w:tcPr>
            <w:tcW w:w="20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ascii="宋体" w:hAnsi="宋体"/>
                <w:sz w:val="21"/>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中汇集团</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5%以上股东承诺</w:t>
            </w:r>
          </w:p>
        </w:tc>
        <w:tc>
          <w:tcPr>
            <w:tcW w:w="27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在不与法律、法规相抵触的前提下，在权利所及范围内，中汇集团以及其他中汇集团之全资、控股子企业在与公用科技进行关联交易时将按公平、公开的市场原则进行，并履行法律、法规、规范性文件和公用科技公司章程、管理制度规定的程序，且不通过与公用科技之间的关联关系谋求特殊的利益，不会进行有损公用科技及其他股东利益的关联交易。</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2007年11月08日</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长期</w:t>
            </w:r>
          </w:p>
        </w:tc>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履行中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jc w:val="center"/>
        </w:trPr>
        <w:tc>
          <w:tcPr>
            <w:tcW w:w="20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ascii="宋体" w:hAnsi="宋体"/>
                <w:sz w:val="21"/>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中汇集团</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5%以上股东承诺</w:t>
            </w:r>
          </w:p>
        </w:tc>
        <w:tc>
          <w:tcPr>
            <w:tcW w:w="27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中汇集团承诺在成为公用科技的控股股东后，将按照法律、法规及公司章程依法行使股东权利，不利用关联股东身份影响公用科技的独立性，保持公用科技在资产、人员、财务、业务和机构等方面的独立性。</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2007年11月08日</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长期</w:t>
            </w:r>
          </w:p>
        </w:tc>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履行中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jc w:val="center"/>
        </w:trPr>
        <w:tc>
          <w:tcPr>
            <w:tcW w:w="20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ascii="宋体" w:hAnsi="宋体"/>
                <w:sz w:val="21"/>
              </w:rPr>
            </w:pPr>
            <w:r>
              <w:rPr>
                <w:rFonts w:hint="eastAsia" w:ascii="宋体" w:hAnsi="宋体"/>
                <w:sz w:val="21"/>
              </w:rPr>
              <w:t>首次公开发行或再融资时所作承诺</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w:t>
            </w:r>
          </w:p>
        </w:tc>
        <w:tc>
          <w:tcPr>
            <w:tcW w:w="27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eastAsia="宋体"/>
                <w:sz w:val="21"/>
                <w:lang w:val="en-US" w:eastAsia="zh-CN"/>
              </w:rPr>
            </w:pPr>
            <w:r>
              <w:rPr>
                <w:rFonts w:hint="eastAsia" w:ascii="宋体" w:hAnsi="宋体"/>
                <w:sz w:val="21"/>
                <w:lang w:val="en-US" w:eastAsia="zh-CN"/>
              </w:rPr>
              <w:t>-</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w:t>
            </w:r>
          </w:p>
        </w:tc>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20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ascii="宋体" w:hAnsi="宋体"/>
                <w:sz w:val="21"/>
              </w:rPr>
            </w:pPr>
            <w:r>
              <w:rPr>
                <w:rFonts w:hint="eastAsia" w:ascii="宋体" w:hAnsi="宋体"/>
                <w:sz w:val="21"/>
              </w:rPr>
              <w:t>股权激励承诺</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中汇集团</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5%以上股东承诺</w:t>
            </w:r>
          </w:p>
        </w:tc>
        <w:tc>
          <w:tcPr>
            <w:tcW w:w="27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为了增强流通股股东的持股信心，激励管理层的积极性，使管理层与公司股东的利益相统一，中汇集团同意公司在股权分置改革完成后按有关规定制订管理层股权激励计划。</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2006年01月04日</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长期</w:t>
            </w:r>
          </w:p>
        </w:tc>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履行中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jc w:val="center"/>
        </w:trPr>
        <w:tc>
          <w:tcPr>
            <w:tcW w:w="20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ascii="宋体" w:hAnsi="宋体"/>
                <w:sz w:val="21"/>
              </w:rPr>
            </w:pPr>
            <w:r>
              <w:rPr>
                <w:rFonts w:hint="eastAsia" w:ascii="宋体" w:hAnsi="宋体"/>
                <w:sz w:val="21"/>
              </w:rPr>
              <w:t>其他对公司中小股东所作承诺</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w:t>
            </w:r>
          </w:p>
        </w:tc>
        <w:tc>
          <w:tcPr>
            <w:tcW w:w="27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eastAsia="宋体"/>
                <w:sz w:val="21"/>
                <w:lang w:val="en-US" w:eastAsia="zh-CN"/>
              </w:rPr>
            </w:pPr>
            <w:r>
              <w:rPr>
                <w:rFonts w:hint="eastAsia" w:ascii="宋体" w:hAnsi="宋体"/>
                <w:sz w:val="21"/>
                <w:lang w:val="en-US" w:eastAsia="zh-CN"/>
              </w:rPr>
              <w:t>-</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w:t>
            </w:r>
          </w:p>
        </w:tc>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jc w:val="center"/>
        </w:trPr>
        <w:tc>
          <w:tcPr>
            <w:tcW w:w="20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ascii="宋体" w:hAnsi="宋体"/>
                <w:sz w:val="21"/>
              </w:rPr>
            </w:pPr>
            <w:r>
              <w:rPr>
                <w:rFonts w:hint="eastAsia" w:ascii="宋体" w:hAnsi="宋体"/>
                <w:sz w:val="21"/>
              </w:rPr>
              <w:t>承诺是否按时履行</w:t>
            </w:r>
          </w:p>
        </w:tc>
        <w:tc>
          <w:tcPr>
            <w:tcW w:w="8017" w:type="dxa"/>
            <w:gridSpan w:val="6"/>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jc w:val="center"/>
        </w:trPr>
        <w:tc>
          <w:tcPr>
            <w:tcW w:w="20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ascii="宋体" w:hAnsi="宋体"/>
                <w:sz w:val="21"/>
              </w:rPr>
            </w:pPr>
            <w:r>
              <w:rPr>
                <w:rFonts w:hint="eastAsia" w:ascii="宋体" w:hAnsi="宋体"/>
                <w:sz w:val="21"/>
              </w:rPr>
              <w:t>如承诺超期未履行完毕的，应当详细说明未完成履行的具体原因及下一步的工作计划</w:t>
            </w:r>
          </w:p>
        </w:tc>
        <w:tc>
          <w:tcPr>
            <w:tcW w:w="8017" w:type="dxa"/>
            <w:gridSpan w:val="6"/>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sz w:val="21"/>
              </w:rPr>
            </w:pPr>
            <w:r>
              <w:rPr>
                <w:rFonts w:hint="eastAsia" w:ascii="宋体" w:hAnsi="宋体"/>
                <w:sz w:val="21"/>
              </w:rPr>
              <w:t>不适用</w:t>
            </w:r>
          </w:p>
        </w:tc>
      </w:tr>
    </w:tbl>
    <w:p>
      <w:pPr>
        <w:pStyle w:val="7"/>
        <w:spacing w:before="0" w:beforeLines="-2147483648" w:after="0" w:afterLines="-2147483648" w:line="360" w:lineRule="auto"/>
        <w:outlineLvl w:val="1"/>
        <w:rPr>
          <w:rFonts w:hint="eastAsia" w:ascii="宋体" w:hAnsi="宋体" w:eastAsia="宋体" w:cs="宋体"/>
          <w:bCs/>
          <w:szCs w:val="24"/>
          <w:lang w:bidi="ar-SA"/>
        </w:rPr>
      </w:pPr>
      <w:r>
        <w:rPr>
          <w:rFonts w:hint="eastAsia" w:ascii="宋体" w:hAnsi="宋体" w:eastAsia="宋体" w:cs="宋体"/>
          <w:bCs/>
          <w:szCs w:val="24"/>
          <w:lang w:bidi="ar-SA"/>
        </w:rPr>
        <w:t>四、金融资产投资</w:t>
      </w:r>
    </w:p>
    <w:p>
      <w:pPr>
        <w:pStyle w:val="7"/>
        <w:spacing w:before="0" w:beforeLines="-2147483648" w:after="0" w:afterLines="-2147483648" w:line="360" w:lineRule="auto"/>
        <w:outlineLvl w:val="1"/>
        <w:rPr>
          <w:rFonts w:hint="eastAsia" w:ascii="宋体" w:hAnsi="宋体" w:eastAsia="宋体" w:cs="宋体"/>
          <w:bCs/>
          <w:szCs w:val="24"/>
          <w:lang w:bidi="ar-SA"/>
        </w:rPr>
      </w:pPr>
      <w:r>
        <w:rPr>
          <w:rFonts w:hint="eastAsia" w:ascii="宋体" w:hAnsi="宋体" w:eastAsia="宋体" w:cs="宋体"/>
          <w:bCs/>
          <w:szCs w:val="24"/>
          <w:lang w:bidi="ar-SA"/>
        </w:rPr>
        <w:t>1、证券投资情况</w:t>
      </w:r>
    </w:p>
    <w:p>
      <w:pPr>
        <w:spacing w:beforeLines="0" w:afterLines="0"/>
        <w:jc w:val="left"/>
        <w:rPr>
          <w:rFonts w:hint="eastAsia"/>
          <w:sz w:val="18"/>
          <w:szCs w:val="24"/>
        </w:rPr>
      </w:pPr>
      <w:r>
        <w:rPr>
          <w:rFonts w:hint="eastAsia" w:ascii="宋体" w:hAnsi="宋体"/>
          <w:sz w:val="24"/>
          <w:szCs w:val="22"/>
        </w:rPr>
        <w:t>√ 适用 □ 不适用</w:t>
      </w:r>
      <w:r>
        <w:rPr>
          <w:rFonts w:hint="eastAsia"/>
          <w:sz w:val="18"/>
          <w:szCs w:val="24"/>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right"/>
        <w:textAlignment w:val="auto"/>
        <w:rPr>
          <w:rFonts w:hint="eastAsia" w:ascii="宋体" w:hAnsi="宋体"/>
          <w:color w:val="000000" w:themeColor="text1"/>
          <w:sz w:val="24"/>
          <w:szCs w:val="24"/>
          <w:lang w:bidi="ar-SA"/>
          <w14:textFill>
            <w14:solidFill>
              <w14:schemeClr w14:val="tx1"/>
            </w14:solidFill>
          </w14:textFill>
        </w:rPr>
      </w:pPr>
      <w:r>
        <w:rPr>
          <w:rFonts w:hint="eastAsia" w:ascii="宋体" w:hAnsi="宋体"/>
          <w:color w:val="000000" w:themeColor="text1"/>
          <w:sz w:val="24"/>
          <w:szCs w:val="24"/>
          <w:lang w:bidi="ar-SA"/>
          <w14:textFill>
            <w14:solidFill>
              <w14:schemeClr w14:val="tx1"/>
            </w14:solidFill>
          </w14:textFill>
        </w:rPr>
        <w:t>单位：元</w:t>
      </w:r>
    </w:p>
    <w:tbl>
      <w:tblPr>
        <w:tblStyle w:val="5"/>
        <w:tblW w:w="113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0"/>
        <w:gridCol w:w="765"/>
        <w:gridCol w:w="990"/>
        <w:gridCol w:w="975"/>
        <w:gridCol w:w="645"/>
        <w:gridCol w:w="673"/>
        <w:gridCol w:w="945"/>
        <w:gridCol w:w="750"/>
        <w:gridCol w:w="945"/>
        <w:gridCol w:w="600"/>
        <w:gridCol w:w="1020"/>
        <w:gridCol w:w="975"/>
        <w:gridCol w:w="705"/>
        <w:gridCol w:w="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证券品种</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证券代码</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证券简称</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最初投资成本</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会计计量模式</w:t>
            </w:r>
          </w:p>
        </w:tc>
        <w:tc>
          <w:tcPr>
            <w:tcW w:w="67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期初账面价值</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本期公允价值变动损益</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计入权益的累计公允价值变动</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本期购买金额</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本期出售金额</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报告期</w:t>
            </w:r>
          </w:p>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损益</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期末账面价值</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会计核算科目</w:t>
            </w:r>
          </w:p>
        </w:tc>
        <w:tc>
          <w:tcPr>
            <w:tcW w:w="67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资金来源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境内外股票</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003040</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楚天龙</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1,598.52</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公允价值计量</w:t>
            </w:r>
          </w:p>
        </w:tc>
        <w:tc>
          <w:tcPr>
            <w:tcW w:w="6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2,892.56</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1,598.52</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2,892.56</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4,491.08</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交易性金融资产</w:t>
            </w:r>
          </w:p>
        </w:tc>
        <w:tc>
          <w:tcPr>
            <w:tcW w:w="6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境内外股票</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003041</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真爱美家</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2,394.00</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公允价值计量</w:t>
            </w:r>
          </w:p>
        </w:tc>
        <w:tc>
          <w:tcPr>
            <w:tcW w:w="6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2,394.00</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2,394.00</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交易性金融资产</w:t>
            </w:r>
          </w:p>
        </w:tc>
        <w:tc>
          <w:tcPr>
            <w:tcW w:w="6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445"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合计</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3,992.52</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6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2,892.56</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3,992.52</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2,892.56</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6,885.08</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67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45"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证券投资审批董事会公告披露日期</w:t>
            </w:r>
          </w:p>
        </w:tc>
        <w:tc>
          <w:tcPr>
            <w:tcW w:w="8904" w:type="dxa"/>
            <w:gridSpan w:val="11"/>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2018年03月10日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45"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证券投资审批股东会公告披露日期</w:t>
            </w:r>
          </w:p>
        </w:tc>
        <w:tc>
          <w:tcPr>
            <w:tcW w:w="8904" w:type="dxa"/>
            <w:gridSpan w:val="11"/>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eastAsia="zh-CN"/>
              </w:rPr>
            </w:pPr>
            <w:r>
              <w:rPr>
                <w:rFonts w:hint="eastAsia" w:ascii="宋体" w:hAnsi="宋体" w:cs="宋体"/>
                <w:sz w:val="18"/>
                <w:szCs w:val="18"/>
                <w:lang w:eastAsia="zh-CN"/>
              </w:rPr>
              <w:t>无</w:t>
            </w:r>
          </w:p>
        </w:tc>
      </w:tr>
    </w:tbl>
    <w:p>
      <w:pPr>
        <w:pStyle w:val="7"/>
        <w:spacing w:before="0" w:beforeLines="-2147483648" w:after="0" w:afterLines="-2147483648" w:line="360" w:lineRule="auto"/>
        <w:outlineLvl w:val="1"/>
        <w:rPr>
          <w:rFonts w:hint="eastAsia" w:ascii="宋体" w:hAnsi="宋体" w:cs="宋体"/>
          <w:bCs/>
          <w:szCs w:val="24"/>
          <w:lang w:bidi="ar-SA"/>
        </w:rPr>
      </w:pPr>
      <w:r>
        <w:rPr>
          <w:rFonts w:hint="eastAsia" w:ascii="宋体" w:hAnsi="宋体" w:cs="宋体"/>
          <w:bCs/>
          <w:szCs w:val="24"/>
          <w:lang w:bidi="ar-SA"/>
        </w:rPr>
        <w:t>2、衍生品投资情况</w:t>
      </w:r>
    </w:p>
    <w:p>
      <w:pPr>
        <w:spacing w:before="0" w:beforeLines="-2147483648" w:after="0" w:afterLines="-2147483648" w:line="360" w:lineRule="auto"/>
        <w:jc w:val="left"/>
        <w:rPr>
          <w:rFonts w:hint="eastAsia" w:ascii="宋体" w:hAnsi="宋体"/>
          <w:sz w:val="24"/>
          <w:szCs w:val="22"/>
        </w:rPr>
      </w:pPr>
      <w:r>
        <w:rPr>
          <w:rFonts w:hint="eastAsia" w:ascii="宋体" w:hAnsi="宋体"/>
          <w:sz w:val="24"/>
          <w:szCs w:val="22"/>
        </w:rPr>
        <w:t xml:space="preserve">□ 适用 √ 不适用 </w:t>
      </w:r>
    </w:p>
    <w:p>
      <w:pPr>
        <w:spacing w:before="0" w:beforeLines="-2147483648" w:after="0" w:afterLines="-2147483648" w:line="360" w:lineRule="auto"/>
        <w:jc w:val="left"/>
        <w:rPr>
          <w:rFonts w:hint="eastAsia" w:ascii="宋体" w:hAnsi="宋体"/>
          <w:sz w:val="24"/>
          <w:szCs w:val="22"/>
        </w:rPr>
      </w:pPr>
      <w:r>
        <w:rPr>
          <w:rFonts w:hint="eastAsia" w:ascii="宋体" w:hAnsi="宋体"/>
          <w:sz w:val="24"/>
          <w:szCs w:val="22"/>
        </w:rPr>
        <w:t>公司报告期不存在衍生品投资。</w:t>
      </w:r>
    </w:p>
    <w:p>
      <w:pPr>
        <w:pStyle w:val="7"/>
        <w:spacing w:before="0" w:beforeLines="-2147483648" w:after="0" w:afterLines="-2147483648" w:line="360" w:lineRule="auto"/>
        <w:outlineLvl w:val="1"/>
        <w:rPr>
          <w:rFonts w:hint="eastAsia" w:ascii="宋体" w:hAnsi="宋体" w:eastAsia="宋体" w:cs="宋体"/>
          <w:bCs/>
          <w:szCs w:val="24"/>
          <w:lang w:bidi="ar-SA"/>
        </w:rPr>
      </w:pPr>
      <w:r>
        <w:rPr>
          <w:rFonts w:hint="eastAsia" w:ascii="宋体" w:hAnsi="宋体" w:eastAsia="宋体" w:cs="宋体"/>
          <w:bCs/>
          <w:szCs w:val="24"/>
          <w:lang w:bidi="ar-SA"/>
        </w:rPr>
        <w:t>五、募集资金投资项目进展情况</w:t>
      </w:r>
    </w:p>
    <w:p>
      <w:pPr>
        <w:spacing w:before="0" w:beforeLines="-2147483648" w:after="0" w:afterLines="-2147483648" w:line="360" w:lineRule="auto"/>
        <w:jc w:val="left"/>
        <w:rPr>
          <w:rFonts w:hint="eastAsia" w:ascii="宋体" w:hAnsi="宋体"/>
          <w:sz w:val="24"/>
          <w:szCs w:val="20"/>
        </w:rPr>
      </w:pPr>
      <w:r>
        <w:rPr>
          <w:rFonts w:hint="eastAsia" w:ascii="宋体" w:hAnsi="宋体"/>
          <w:sz w:val="24"/>
          <w:szCs w:val="20"/>
        </w:rPr>
        <w:t xml:space="preserve">√ 适用 □ 不适用 </w:t>
      </w:r>
    </w:p>
    <w:p>
      <w:pPr>
        <w:pStyle w:val="7"/>
        <w:spacing w:before="0" w:beforeLines="-2147483648" w:after="0" w:afterLines="-2147483648" w:line="360" w:lineRule="auto"/>
        <w:outlineLvl w:val="1"/>
        <w:rPr>
          <w:rFonts w:hint="eastAsia" w:ascii="宋体" w:hAnsi="宋体"/>
          <w:sz w:val="24"/>
          <w:szCs w:val="20"/>
          <w:highlight w:val="none"/>
          <w:lang w:val="zh-CN"/>
        </w:rPr>
      </w:pPr>
      <w:r>
        <w:rPr>
          <w:rFonts w:hint="eastAsia" w:ascii="宋体" w:hAnsi="宋体"/>
          <w:sz w:val="24"/>
          <w:szCs w:val="20"/>
          <w:highlight w:val="none"/>
          <w:lang w:val="zh-CN"/>
        </w:rPr>
        <w:t>（一）关于2015年非公开发行股票的募集资金使用及存放情况</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360" w:lineRule="auto"/>
        <w:ind w:firstLine="480" w:firstLineChars="200"/>
        <w:jc w:val="left"/>
        <w:textAlignment w:val="auto"/>
        <w:rPr>
          <w:rFonts w:hint="eastAsia" w:ascii="宋体" w:hAnsi="宋体"/>
          <w:sz w:val="24"/>
          <w:szCs w:val="20"/>
        </w:rPr>
      </w:pPr>
      <w:r>
        <w:rPr>
          <w:rFonts w:hint="eastAsia" w:ascii="宋体" w:hAnsi="宋体"/>
          <w:sz w:val="24"/>
          <w:szCs w:val="20"/>
        </w:rPr>
        <w:t>2015年公司获准发行非公开发行73,481,564股，扣除发行费后的募集资金净额856,750,782.77元于2015年10月28日到账。公司根据各募集资金项目的进展陆续投入资金。</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360" w:lineRule="auto"/>
        <w:ind w:firstLine="480" w:firstLineChars="200"/>
        <w:jc w:val="left"/>
        <w:textAlignment w:val="auto"/>
        <w:rPr>
          <w:rFonts w:hint="eastAsia" w:ascii="宋体" w:hAnsi="宋体"/>
          <w:sz w:val="24"/>
          <w:szCs w:val="20"/>
        </w:rPr>
      </w:pPr>
      <w:r>
        <w:rPr>
          <w:rFonts w:hint="eastAsia" w:ascii="宋体" w:hAnsi="宋体"/>
          <w:sz w:val="24"/>
          <w:szCs w:val="20"/>
        </w:rPr>
        <w:t>截至2021年3月31日，未使用的募集资金余额为185,062,912.06元，其中110,000,000.00元购买固定收益类理财产品，75,062,912.06元存放在募集资金专户中。</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360" w:lineRule="auto"/>
        <w:ind w:firstLine="480" w:firstLineChars="200"/>
        <w:jc w:val="left"/>
        <w:textAlignment w:val="auto"/>
        <w:rPr>
          <w:rFonts w:hint="eastAsia" w:ascii="宋体" w:hAnsi="宋体"/>
          <w:sz w:val="24"/>
          <w:szCs w:val="20"/>
        </w:rPr>
      </w:pPr>
      <w:r>
        <w:rPr>
          <w:rFonts w:hint="eastAsia" w:ascii="宋体" w:hAnsi="宋体"/>
          <w:sz w:val="24"/>
          <w:szCs w:val="20"/>
        </w:rPr>
        <w:t>截至2021年3月31日，各募集资金项目均已陆续投入使用。</w:t>
      </w:r>
    </w:p>
    <w:p>
      <w:pPr>
        <w:pStyle w:val="7"/>
        <w:spacing w:before="0" w:beforeLines="-2147483648" w:after="0" w:afterLines="-2147483648" w:line="360" w:lineRule="auto"/>
        <w:outlineLvl w:val="1"/>
        <w:rPr>
          <w:rFonts w:hint="eastAsia" w:ascii="宋体" w:hAnsi="宋体"/>
          <w:sz w:val="24"/>
          <w:szCs w:val="20"/>
          <w:highlight w:val="none"/>
          <w:lang w:val="zh-CN"/>
        </w:rPr>
      </w:pPr>
      <w:r>
        <w:rPr>
          <w:rFonts w:hint="eastAsia" w:ascii="宋体" w:hAnsi="宋体"/>
          <w:sz w:val="24"/>
          <w:szCs w:val="20"/>
          <w:highlight w:val="none"/>
          <w:lang w:val="zh-CN"/>
        </w:rPr>
        <w:t>（二）2019年公司债募集资金的使用及存放情况</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360" w:lineRule="auto"/>
        <w:ind w:firstLine="480" w:firstLineChars="200"/>
        <w:jc w:val="left"/>
        <w:textAlignment w:val="auto"/>
        <w:rPr>
          <w:rFonts w:hint="eastAsia" w:ascii="宋体" w:hAnsi="宋体"/>
          <w:sz w:val="24"/>
          <w:szCs w:val="20"/>
        </w:rPr>
      </w:pPr>
      <w:r>
        <w:rPr>
          <w:rFonts w:hint="eastAsia" w:ascii="宋体" w:hAnsi="宋体"/>
          <w:sz w:val="24"/>
          <w:szCs w:val="20"/>
        </w:rPr>
        <w:t>公司2019年面向合格投资者公开发行债券（第一期），募集资金净额995,000,000.00元，资金到账时间为2019年3月5日。公司偿还银行借款累计800,000,000.00元，补充流动资金使用额为196,525,106.55元，募集资金存款利息累计收入净额1,828,322.57元。截至2021年3月31日，募集资金账户余额为人民币303,216.02元。</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360" w:lineRule="auto"/>
        <w:ind w:firstLine="480" w:firstLineChars="200"/>
        <w:jc w:val="left"/>
        <w:textAlignment w:val="auto"/>
        <w:rPr>
          <w:rFonts w:hint="eastAsia" w:ascii="宋体" w:hAnsi="宋体"/>
          <w:sz w:val="24"/>
          <w:szCs w:val="20"/>
        </w:rPr>
        <w:sectPr>
          <w:pgSz w:w="11906" w:h="16838"/>
          <w:pgMar w:top="1440" w:right="1800" w:bottom="1440" w:left="1800" w:header="851" w:footer="992" w:gutter="0"/>
          <w:cols w:space="425" w:num="1"/>
          <w:docGrid w:type="lines" w:linePitch="312" w:charSpace="0"/>
        </w:sectPr>
      </w:pPr>
      <w:r>
        <w:rPr>
          <w:rFonts w:hint="eastAsia" w:ascii="宋体" w:hAnsi="宋体"/>
          <w:sz w:val="24"/>
          <w:szCs w:val="20"/>
        </w:rPr>
        <w:t>报告期,公司严格按照本公司的《募集资金管理制度》及募集资金监管协议以及相关法律法规的规定存放、使用和管理募集资金，并履行了相关义务，未发生违法违规的情形。</w:t>
      </w:r>
    </w:p>
    <w:p>
      <w:pPr>
        <w:pStyle w:val="7"/>
        <w:spacing w:before="0" w:beforeLines="-2147483648" w:after="0" w:afterLines="-2147483648" w:line="360" w:lineRule="auto"/>
        <w:outlineLvl w:val="1"/>
        <w:rPr>
          <w:rFonts w:hint="eastAsia" w:ascii="宋体" w:hAnsi="宋体"/>
          <w:sz w:val="24"/>
          <w:szCs w:val="20"/>
          <w:highlight w:val="none"/>
          <w:lang w:val="zh-CN"/>
        </w:rPr>
      </w:pPr>
      <w:r>
        <w:rPr>
          <w:rFonts w:hint="eastAsia" w:ascii="宋体" w:hAnsi="宋体"/>
          <w:sz w:val="24"/>
          <w:szCs w:val="20"/>
          <w:highlight w:val="none"/>
          <w:lang w:val="zh-CN"/>
        </w:rPr>
        <w:t>（三）、本年募集资金的实际使用情况</w:t>
      </w:r>
    </w:p>
    <w:p>
      <w:pPr>
        <w:pStyle w:val="7"/>
        <w:spacing w:before="0" w:beforeLines="-2147483648" w:after="0" w:afterLines="-2147483648" w:line="360" w:lineRule="auto"/>
        <w:outlineLvl w:val="1"/>
        <w:rPr>
          <w:rFonts w:hint="eastAsia" w:ascii="宋体" w:hAnsi="宋体"/>
          <w:sz w:val="24"/>
          <w:szCs w:val="20"/>
          <w:highlight w:val="none"/>
          <w:lang w:val="zh-CN"/>
        </w:rPr>
      </w:pPr>
      <w:r>
        <w:rPr>
          <w:rFonts w:hint="eastAsia" w:ascii="宋体" w:hAnsi="宋体"/>
          <w:sz w:val="24"/>
          <w:szCs w:val="20"/>
          <w:highlight w:val="none"/>
          <w:lang w:val="zh-CN"/>
        </w:rPr>
        <w:t>(1)2015年非公开发行股票募集资金的实际使用情况如下表：</w:t>
      </w:r>
    </w:p>
    <w:p>
      <w:pPr>
        <w:keepNext w:val="0"/>
        <w:keepLines w:val="0"/>
        <w:pageBreakBefore w:val="0"/>
        <w:widowControl w:val="0"/>
        <w:kinsoku/>
        <w:wordWrap/>
        <w:overflowPunct/>
        <w:topLinePunct w:val="0"/>
        <w:autoSpaceDE w:val="0"/>
        <w:autoSpaceDN w:val="0"/>
        <w:bidi w:val="0"/>
        <w:adjustRightInd w:val="0"/>
        <w:snapToGrid/>
        <w:spacing w:line="430" w:lineRule="exact"/>
        <w:ind w:firstLine="0"/>
        <w:jc w:val="center"/>
        <w:textAlignment w:val="auto"/>
        <w:rPr>
          <w:szCs w:val="24"/>
          <w:lang w:val="zh-CN"/>
        </w:rPr>
      </w:pPr>
      <w:r>
        <w:rPr>
          <w:rFonts w:hint="eastAsia"/>
          <w:b/>
          <w:sz w:val="22"/>
          <w:szCs w:val="28"/>
          <w:lang w:val="zh-CN"/>
        </w:rPr>
        <w:t>募集资金使用情况对照表</w:t>
      </w:r>
    </w:p>
    <w:p>
      <w:pPr>
        <w:autoSpaceDE w:val="0"/>
        <w:autoSpaceDN w:val="0"/>
        <w:adjustRightInd w:val="0"/>
        <w:spacing w:line="430" w:lineRule="exact"/>
        <w:ind w:firstLine="544"/>
        <w:jc w:val="center"/>
        <w:rPr>
          <w:b/>
          <w:sz w:val="24"/>
          <w:szCs w:val="24"/>
          <w:lang w:val="zh-CN"/>
        </w:rPr>
      </w:pPr>
      <w:r>
        <w:rPr>
          <w:rFonts w:hint="eastAsia"/>
          <w:szCs w:val="24"/>
          <w:lang w:val="zh-CN"/>
        </w:rPr>
        <w:t xml:space="preserve">                                                                                                </w:t>
      </w:r>
      <w:r>
        <w:rPr>
          <w:rFonts w:hint="eastAsia"/>
          <w:sz w:val="24"/>
          <w:szCs w:val="24"/>
          <w:lang w:val="zh-CN"/>
        </w:rPr>
        <w:t xml:space="preserve"> </w:t>
      </w:r>
      <w:r>
        <w:rPr>
          <w:rFonts w:hint="eastAsia"/>
          <w:sz w:val="24"/>
          <w:szCs w:val="24"/>
        </w:rPr>
        <w:t>单位</w:t>
      </w:r>
      <w:r>
        <w:rPr>
          <w:sz w:val="24"/>
          <w:szCs w:val="24"/>
        </w:rPr>
        <w:t>：人民币万元</w:t>
      </w:r>
    </w:p>
    <w:tbl>
      <w:tblPr>
        <w:tblStyle w:val="5"/>
        <w:tblW w:w="13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6"/>
        <w:gridCol w:w="925"/>
        <w:gridCol w:w="1276"/>
        <w:gridCol w:w="1275"/>
        <w:gridCol w:w="1254"/>
        <w:gridCol w:w="1298"/>
        <w:gridCol w:w="1140"/>
        <w:gridCol w:w="124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542" w:type="dxa"/>
            <w:gridSpan w:val="4"/>
            <w:shd w:val="clear" w:color="auto" w:fill="D7D7D7" w:themeFill="background1" w:themeFillShade="D8"/>
            <w:vAlign w:val="center"/>
          </w:tcPr>
          <w:p>
            <w:pPr>
              <w:rPr>
                <w:rFonts w:hint="eastAsia" w:ascii="宋体" w:hAnsi="宋体" w:eastAsia="宋体" w:cs="宋体"/>
                <w:sz w:val="18"/>
                <w:szCs w:val="18"/>
              </w:rPr>
            </w:pPr>
            <w:r>
              <w:rPr>
                <w:rFonts w:hint="eastAsia" w:ascii="宋体" w:hAnsi="宋体" w:eastAsia="宋体" w:cs="宋体"/>
                <w:sz w:val="18"/>
                <w:szCs w:val="18"/>
              </w:rPr>
              <w:t>募集资金净额</w:t>
            </w:r>
          </w:p>
        </w:tc>
        <w:tc>
          <w:tcPr>
            <w:tcW w:w="1254" w:type="dxa"/>
            <w:vAlign w:val="center"/>
          </w:tcPr>
          <w:p>
            <w:pPr>
              <w:jc w:val="right"/>
              <w:rPr>
                <w:rFonts w:hint="eastAsia" w:ascii="宋体" w:hAnsi="宋体" w:eastAsia="宋体" w:cs="宋体"/>
                <w:sz w:val="18"/>
                <w:szCs w:val="18"/>
              </w:rPr>
            </w:pPr>
            <w:r>
              <w:rPr>
                <w:rFonts w:hint="eastAsia" w:ascii="宋体" w:hAnsi="宋体" w:eastAsia="宋体" w:cs="宋体"/>
                <w:sz w:val="18"/>
                <w:szCs w:val="18"/>
              </w:rPr>
              <w:t>85,675.08</w:t>
            </w:r>
          </w:p>
        </w:tc>
        <w:tc>
          <w:tcPr>
            <w:tcW w:w="2438" w:type="dxa"/>
            <w:gridSpan w:val="2"/>
            <w:shd w:val="clear" w:color="auto" w:fill="D7D7D7" w:themeFill="background1" w:themeFillShade="D8"/>
            <w:vAlign w:val="center"/>
          </w:tcPr>
          <w:p>
            <w:pPr>
              <w:rPr>
                <w:rFonts w:hint="eastAsia" w:ascii="宋体" w:hAnsi="宋体" w:eastAsia="宋体" w:cs="宋体"/>
                <w:sz w:val="18"/>
                <w:szCs w:val="18"/>
              </w:rPr>
            </w:pPr>
            <w:r>
              <w:rPr>
                <w:rFonts w:hint="eastAsia" w:ascii="宋体" w:hAnsi="宋体" w:eastAsia="宋体" w:cs="宋体"/>
                <w:sz w:val="18"/>
                <w:szCs w:val="18"/>
              </w:rPr>
              <w:t>本年度投入募集资金总额</w:t>
            </w:r>
          </w:p>
        </w:tc>
        <w:tc>
          <w:tcPr>
            <w:tcW w:w="3090" w:type="dxa"/>
            <w:gridSpan w:val="2"/>
            <w:vAlign w:val="center"/>
          </w:tcPr>
          <w:p>
            <w:pPr>
              <w:jc w:val="right"/>
              <w:rPr>
                <w:rFonts w:hint="eastAsia" w:ascii="宋体" w:hAnsi="宋体" w:eastAsia="宋体" w:cs="宋体"/>
                <w:sz w:val="18"/>
                <w:szCs w:val="18"/>
              </w:rPr>
            </w:pPr>
            <w:r>
              <w:rPr>
                <w:rFonts w:hint="eastAsia" w:ascii="宋体" w:hAnsi="宋体" w:eastAsia="宋体" w:cs="宋体"/>
                <w:sz w:val="18"/>
                <w:szCs w:val="18"/>
              </w:rPr>
              <w:t>698.36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542" w:type="dxa"/>
            <w:gridSpan w:val="4"/>
            <w:shd w:val="clear" w:color="auto" w:fill="D7D7D7" w:themeFill="background1" w:themeFillShade="D8"/>
            <w:vAlign w:val="center"/>
          </w:tcPr>
          <w:p>
            <w:pPr>
              <w:rPr>
                <w:rFonts w:hint="eastAsia" w:ascii="宋体" w:hAnsi="宋体" w:eastAsia="宋体" w:cs="宋体"/>
                <w:sz w:val="18"/>
                <w:szCs w:val="18"/>
              </w:rPr>
            </w:pPr>
            <w:r>
              <w:rPr>
                <w:rFonts w:hint="eastAsia" w:ascii="宋体" w:hAnsi="宋体" w:eastAsia="宋体" w:cs="宋体"/>
                <w:sz w:val="18"/>
                <w:szCs w:val="18"/>
              </w:rPr>
              <w:t>变更用途的募集资金总额</w:t>
            </w:r>
          </w:p>
        </w:tc>
        <w:tc>
          <w:tcPr>
            <w:tcW w:w="1254" w:type="dxa"/>
            <w:vAlign w:val="center"/>
          </w:tcPr>
          <w:p>
            <w:pPr>
              <w:jc w:val="right"/>
              <w:rPr>
                <w:rFonts w:hint="eastAsia" w:ascii="宋体" w:hAnsi="宋体" w:eastAsia="宋体" w:cs="宋体"/>
                <w:sz w:val="18"/>
                <w:szCs w:val="18"/>
              </w:rPr>
            </w:pPr>
            <w:r>
              <w:rPr>
                <w:rFonts w:hint="eastAsia" w:ascii="宋体" w:hAnsi="宋体" w:eastAsia="宋体" w:cs="宋体"/>
                <w:sz w:val="18"/>
                <w:szCs w:val="18"/>
              </w:rPr>
              <w:t>27,256.10</w:t>
            </w:r>
          </w:p>
        </w:tc>
        <w:tc>
          <w:tcPr>
            <w:tcW w:w="2438" w:type="dxa"/>
            <w:gridSpan w:val="2"/>
            <w:vMerge w:val="restart"/>
            <w:shd w:val="clear" w:color="auto" w:fill="D7D7D7" w:themeFill="background1" w:themeFillShade="D8"/>
            <w:vAlign w:val="center"/>
          </w:tcPr>
          <w:p>
            <w:pPr>
              <w:rPr>
                <w:rFonts w:hint="eastAsia" w:ascii="宋体" w:hAnsi="宋体" w:eastAsia="宋体" w:cs="宋体"/>
                <w:sz w:val="18"/>
                <w:szCs w:val="18"/>
              </w:rPr>
            </w:pPr>
            <w:r>
              <w:rPr>
                <w:rFonts w:hint="eastAsia" w:ascii="宋体" w:hAnsi="宋体" w:eastAsia="宋体" w:cs="宋体"/>
                <w:sz w:val="18"/>
                <w:szCs w:val="18"/>
              </w:rPr>
              <w:t>已累计投入募集资金总额</w:t>
            </w:r>
          </w:p>
        </w:tc>
        <w:tc>
          <w:tcPr>
            <w:tcW w:w="3090" w:type="dxa"/>
            <w:gridSpan w:val="2"/>
            <w:vMerge w:val="restart"/>
            <w:vAlign w:val="center"/>
          </w:tcPr>
          <w:p>
            <w:pPr>
              <w:jc w:val="right"/>
              <w:rPr>
                <w:rFonts w:hint="eastAsia" w:ascii="宋体" w:hAnsi="宋体" w:eastAsia="宋体" w:cs="宋体"/>
                <w:sz w:val="18"/>
                <w:szCs w:val="18"/>
              </w:rPr>
            </w:pPr>
            <w:r>
              <w:rPr>
                <w:rFonts w:hint="eastAsia" w:ascii="宋体" w:hAnsi="宋体" w:eastAsia="宋体" w:cs="宋体"/>
                <w:sz w:val="18"/>
                <w:szCs w:val="18"/>
              </w:rPr>
              <w:t>73,710.23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42" w:type="dxa"/>
            <w:gridSpan w:val="4"/>
            <w:shd w:val="clear" w:color="auto" w:fill="D7D7D7" w:themeFill="background1" w:themeFillShade="D8"/>
            <w:vAlign w:val="center"/>
          </w:tcPr>
          <w:p>
            <w:pPr>
              <w:rPr>
                <w:rFonts w:hint="eastAsia" w:ascii="宋体" w:hAnsi="宋体" w:eastAsia="宋体" w:cs="宋体"/>
                <w:sz w:val="18"/>
                <w:szCs w:val="18"/>
              </w:rPr>
            </w:pPr>
            <w:r>
              <w:rPr>
                <w:rFonts w:hint="eastAsia" w:ascii="宋体" w:hAnsi="宋体" w:eastAsia="宋体" w:cs="宋体"/>
                <w:sz w:val="18"/>
                <w:szCs w:val="18"/>
              </w:rPr>
              <w:t>变更用途的募集资金总额比例</w:t>
            </w:r>
          </w:p>
        </w:tc>
        <w:tc>
          <w:tcPr>
            <w:tcW w:w="1254" w:type="dxa"/>
            <w:vAlign w:val="center"/>
          </w:tcPr>
          <w:p>
            <w:pPr>
              <w:jc w:val="right"/>
              <w:rPr>
                <w:rFonts w:hint="eastAsia" w:ascii="宋体" w:hAnsi="宋体" w:eastAsia="宋体" w:cs="宋体"/>
                <w:sz w:val="18"/>
                <w:szCs w:val="18"/>
              </w:rPr>
            </w:pPr>
            <w:r>
              <w:rPr>
                <w:rFonts w:hint="eastAsia" w:ascii="宋体" w:hAnsi="宋体" w:eastAsia="宋体" w:cs="宋体"/>
                <w:sz w:val="18"/>
                <w:szCs w:val="18"/>
              </w:rPr>
              <w:t>31.81%</w:t>
            </w:r>
          </w:p>
        </w:tc>
        <w:tc>
          <w:tcPr>
            <w:tcW w:w="2438" w:type="dxa"/>
            <w:gridSpan w:val="2"/>
            <w:vMerge w:val="continue"/>
            <w:shd w:val="clear" w:color="auto" w:fill="D7D7D7" w:themeFill="background1" w:themeFillShade="D8"/>
            <w:vAlign w:val="center"/>
          </w:tcPr>
          <w:p>
            <w:pPr>
              <w:rPr>
                <w:rFonts w:hint="eastAsia" w:ascii="宋体" w:hAnsi="宋体" w:eastAsia="宋体" w:cs="宋体"/>
                <w:sz w:val="18"/>
                <w:szCs w:val="18"/>
              </w:rPr>
            </w:pPr>
          </w:p>
        </w:tc>
        <w:tc>
          <w:tcPr>
            <w:tcW w:w="3090" w:type="dxa"/>
            <w:gridSpan w:val="2"/>
            <w:vMerge w:val="continue"/>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3066"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承诺投资项目和超募资金投向</w:t>
            </w:r>
          </w:p>
        </w:tc>
        <w:tc>
          <w:tcPr>
            <w:tcW w:w="925"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是否已变更项目（含部分变更）</w:t>
            </w:r>
          </w:p>
        </w:tc>
        <w:tc>
          <w:tcPr>
            <w:tcW w:w="1276"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募集资金承诺投资总额</w:t>
            </w:r>
          </w:p>
        </w:tc>
        <w:tc>
          <w:tcPr>
            <w:tcW w:w="1275"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调整后投资总额（1）</w:t>
            </w:r>
          </w:p>
        </w:tc>
        <w:tc>
          <w:tcPr>
            <w:tcW w:w="1254"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本年度投入金额</w:t>
            </w:r>
          </w:p>
        </w:tc>
        <w:tc>
          <w:tcPr>
            <w:tcW w:w="1298"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截至期末累计投入金额（2）</w:t>
            </w:r>
          </w:p>
        </w:tc>
        <w:tc>
          <w:tcPr>
            <w:tcW w:w="1140"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截至期末投入进度(3)=(2)/(1)</w:t>
            </w:r>
          </w:p>
        </w:tc>
        <w:tc>
          <w:tcPr>
            <w:tcW w:w="1247"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项目达到预定可使用状态日期</w:t>
            </w:r>
          </w:p>
        </w:tc>
        <w:tc>
          <w:tcPr>
            <w:tcW w:w="1843"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项目可行性是否发生重大变化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3066"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一、中山现代农产品交易中心建设项目</w:t>
            </w:r>
          </w:p>
        </w:tc>
        <w:tc>
          <w:tcPr>
            <w:tcW w:w="92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48,363.59</w:t>
            </w:r>
          </w:p>
        </w:tc>
        <w:tc>
          <w:tcPr>
            <w:tcW w:w="127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33,840.19</w:t>
            </w:r>
          </w:p>
        </w:tc>
        <w:tc>
          <w:tcPr>
            <w:tcW w:w="125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w:t>
            </w:r>
          </w:p>
        </w:tc>
        <w:tc>
          <w:tcPr>
            <w:tcW w:w="129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22,635.81</w:t>
            </w:r>
          </w:p>
        </w:tc>
        <w:tc>
          <w:tcPr>
            <w:tcW w:w="114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66.89%</w:t>
            </w:r>
          </w:p>
        </w:tc>
        <w:tc>
          <w:tcPr>
            <w:tcW w:w="124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2019-7-28-</w:t>
            </w:r>
          </w:p>
        </w:tc>
        <w:tc>
          <w:tcPr>
            <w:tcW w:w="1843"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3066"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其中：1. 农产品交易中心一期</w:t>
            </w:r>
          </w:p>
        </w:tc>
        <w:tc>
          <w:tcPr>
            <w:tcW w:w="92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否</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12,475.73</w:t>
            </w:r>
          </w:p>
        </w:tc>
        <w:tc>
          <w:tcPr>
            <w:tcW w:w="127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12,475.73</w:t>
            </w:r>
          </w:p>
        </w:tc>
        <w:tc>
          <w:tcPr>
            <w:tcW w:w="125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w:t>
            </w:r>
          </w:p>
        </w:tc>
        <w:tc>
          <w:tcPr>
            <w:tcW w:w="129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9,625.05</w:t>
            </w:r>
          </w:p>
        </w:tc>
        <w:tc>
          <w:tcPr>
            <w:tcW w:w="114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77.15%</w:t>
            </w:r>
          </w:p>
        </w:tc>
        <w:tc>
          <w:tcPr>
            <w:tcW w:w="124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2015-10-30-</w:t>
            </w:r>
          </w:p>
        </w:tc>
        <w:tc>
          <w:tcPr>
            <w:tcW w:w="1843"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3066" w:type="dxa"/>
            <w:shd w:val="clear" w:color="auto" w:fill="D7D7D7" w:themeFill="background1" w:themeFillShade="D8"/>
            <w:vAlign w:val="center"/>
          </w:tcPr>
          <w:p>
            <w:pPr>
              <w:ind w:left="414" w:leftChars="230"/>
              <w:rPr>
                <w:rFonts w:hint="eastAsia" w:ascii="宋体" w:hAnsi="宋体" w:eastAsia="宋体" w:cs="宋体"/>
                <w:sz w:val="18"/>
                <w:szCs w:val="18"/>
              </w:rPr>
            </w:pPr>
            <w:r>
              <w:rPr>
                <w:rFonts w:hint="eastAsia" w:ascii="宋体" w:hAnsi="宋体" w:eastAsia="宋体" w:cs="宋体"/>
                <w:sz w:val="18"/>
                <w:szCs w:val="18"/>
              </w:rPr>
              <w:t>2. 农产品交易中心二期</w:t>
            </w:r>
          </w:p>
        </w:tc>
        <w:tc>
          <w:tcPr>
            <w:tcW w:w="92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是</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19,323.40</w:t>
            </w:r>
          </w:p>
        </w:tc>
        <w:tc>
          <w:tcPr>
            <w:tcW w:w="127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4,800.00</w:t>
            </w:r>
          </w:p>
        </w:tc>
        <w:tc>
          <w:tcPr>
            <w:tcW w:w="125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w:t>
            </w:r>
          </w:p>
        </w:tc>
        <w:tc>
          <w:tcPr>
            <w:tcW w:w="129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3,527.77</w:t>
            </w:r>
          </w:p>
        </w:tc>
        <w:tc>
          <w:tcPr>
            <w:tcW w:w="114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73.50%</w:t>
            </w:r>
          </w:p>
        </w:tc>
        <w:tc>
          <w:tcPr>
            <w:tcW w:w="124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2019-7-28</w:t>
            </w:r>
          </w:p>
        </w:tc>
        <w:tc>
          <w:tcPr>
            <w:tcW w:w="1843"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066" w:type="dxa"/>
            <w:shd w:val="clear" w:color="auto" w:fill="D7D7D7" w:themeFill="background1" w:themeFillShade="D8"/>
            <w:vAlign w:val="center"/>
          </w:tcPr>
          <w:p>
            <w:pPr>
              <w:tabs>
                <w:tab w:val="left" w:pos="1594"/>
              </w:tabs>
              <w:ind w:left="414" w:leftChars="230"/>
              <w:rPr>
                <w:rFonts w:hint="eastAsia" w:ascii="宋体" w:hAnsi="宋体" w:eastAsia="宋体" w:cs="宋体"/>
                <w:sz w:val="18"/>
                <w:szCs w:val="18"/>
              </w:rPr>
            </w:pPr>
            <w:r>
              <w:rPr>
                <w:rFonts w:hint="eastAsia" w:ascii="宋体" w:hAnsi="宋体" w:eastAsia="宋体" w:cs="宋体"/>
                <w:sz w:val="18"/>
                <w:szCs w:val="18"/>
              </w:rPr>
              <w:t>3. 农产品交易中心三期</w:t>
            </w:r>
          </w:p>
        </w:tc>
        <w:tc>
          <w:tcPr>
            <w:tcW w:w="92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否</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16,564.46</w:t>
            </w:r>
          </w:p>
        </w:tc>
        <w:tc>
          <w:tcPr>
            <w:tcW w:w="127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16,564.46</w:t>
            </w:r>
          </w:p>
        </w:tc>
        <w:tc>
          <w:tcPr>
            <w:tcW w:w="125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w:t>
            </w:r>
          </w:p>
        </w:tc>
        <w:tc>
          <w:tcPr>
            <w:tcW w:w="129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9,482.98</w:t>
            </w:r>
          </w:p>
        </w:tc>
        <w:tc>
          <w:tcPr>
            <w:tcW w:w="114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57.25%</w:t>
            </w:r>
          </w:p>
        </w:tc>
        <w:tc>
          <w:tcPr>
            <w:tcW w:w="124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2019- 7-28</w:t>
            </w:r>
          </w:p>
        </w:tc>
        <w:tc>
          <w:tcPr>
            <w:tcW w:w="1843"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066"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承诺投资项目和超募资金投向</w:t>
            </w:r>
          </w:p>
        </w:tc>
        <w:tc>
          <w:tcPr>
            <w:tcW w:w="92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是否已变更项目（含部分变更）</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募集资金承诺投资总额</w:t>
            </w:r>
          </w:p>
        </w:tc>
        <w:tc>
          <w:tcPr>
            <w:tcW w:w="127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调整后投资总额（1）</w:t>
            </w:r>
          </w:p>
        </w:tc>
        <w:tc>
          <w:tcPr>
            <w:tcW w:w="125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本年度投入金额</w:t>
            </w:r>
          </w:p>
        </w:tc>
        <w:tc>
          <w:tcPr>
            <w:tcW w:w="129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截至期末累计投入金额（2）</w:t>
            </w:r>
          </w:p>
        </w:tc>
        <w:tc>
          <w:tcPr>
            <w:tcW w:w="114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截至期末投入进度(3)=(2)/(1)</w:t>
            </w:r>
          </w:p>
        </w:tc>
        <w:tc>
          <w:tcPr>
            <w:tcW w:w="124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项目达到预定可使用状态日期</w:t>
            </w:r>
          </w:p>
        </w:tc>
        <w:tc>
          <w:tcPr>
            <w:tcW w:w="1843"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项目可行性是否发生重大变化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066"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二、黄圃农贸市场升级改造项目</w:t>
            </w:r>
          </w:p>
        </w:tc>
        <w:tc>
          <w:tcPr>
            <w:tcW w:w="92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否</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18,978.79</w:t>
            </w:r>
          </w:p>
        </w:tc>
        <w:tc>
          <w:tcPr>
            <w:tcW w:w="127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18,978.79</w:t>
            </w:r>
          </w:p>
        </w:tc>
        <w:tc>
          <w:tcPr>
            <w:tcW w:w="125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698.36</w:t>
            </w:r>
          </w:p>
        </w:tc>
        <w:tc>
          <w:tcPr>
            <w:tcW w:w="129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2,813.86</w:t>
            </w:r>
          </w:p>
        </w:tc>
        <w:tc>
          <w:tcPr>
            <w:tcW w:w="114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85.17%</w:t>
            </w:r>
          </w:p>
        </w:tc>
        <w:tc>
          <w:tcPr>
            <w:tcW w:w="124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2018-7-1</w:t>
            </w:r>
          </w:p>
        </w:tc>
        <w:tc>
          <w:tcPr>
            <w:tcW w:w="1843"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066"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三、东凤兴华农贸市场升级改造项目</w:t>
            </w:r>
          </w:p>
        </w:tc>
        <w:tc>
          <w:tcPr>
            <w:tcW w:w="92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是</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12,732.70</w:t>
            </w:r>
          </w:p>
        </w:tc>
        <w:tc>
          <w:tcPr>
            <w:tcW w:w="127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5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9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14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4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843"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066" w:type="dxa"/>
            <w:shd w:val="clear" w:color="auto" w:fill="D7D7D7" w:themeFill="background1" w:themeFillShade="D8"/>
            <w:vAlign w:val="center"/>
          </w:tcPr>
          <w:p>
            <w:pPr>
              <w:rPr>
                <w:rFonts w:hint="eastAsia" w:ascii="宋体" w:hAnsi="宋体" w:eastAsia="宋体" w:cs="宋体"/>
                <w:sz w:val="18"/>
                <w:szCs w:val="18"/>
              </w:rPr>
            </w:pPr>
            <w:r>
              <w:rPr>
                <w:rFonts w:hint="eastAsia" w:ascii="宋体" w:hAnsi="宋体" w:eastAsia="宋体" w:cs="宋体"/>
                <w:sz w:val="18"/>
                <w:szCs w:val="18"/>
              </w:rPr>
              <w:t>四、补充流动资金</w:t>
            </w:r>
          </w:p>
        </w:tc>
        <w:tc>
          <w:tcPr>
            <w:tcW w:w="92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5,600.00</w:t>
            </w:r>
          </w:p>
        </w:tc>
        <w:tc>
          <w:tcPr>
            <w:tcW w:w="127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5,600.00</w:t>
            </w:r>
          </w:p>
        </w:tc>
        <w:tc>
          <w:tcPr>
            <w:tcW w:w="125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9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5,600.00</w:t>
            </w:r>
          </w:p>
        </w:tc>
        <w:tc>
          <w:tcPr>
            <w:tcW w:w="114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100.00%</w:t>
            </w:r>
          </w:p>
        </w:tc>
        <w:tc>
          <w:tcPr>
            <w:tcW w:w="124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843"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066"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五、中山市北部组团垃圾综合处理基地垃圾焚烧发电厂和垃圾渗滤液处理厂三期工程(扩容工程)</w:t>
            </w:r>
          </w:p>
        </w:tc>
        <w:tc>
          <w:tcPr>
            <w:tcW w:w="92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是</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28,605.97</w:t>
            </w:r>
          </w:p>
        </w:tc>
        <w:tc>
          <w:tcPr>
            <w:tcW w:w="125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w:t>
            </w:r>
          </w:p>
        </w:tc>
        <w:tc>
          <w:tcPr>
            <w:tcW w:w="129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29,309.49</w:t>
            </w:r>
          </w:p>
        </w:tc>
        <w:tc>
          <w:tcPr>
            <w:tcW w:w="114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102.46%</w:t>
            </w:r>
          </w:p>
        </w:tc>
        <w:tc>
          <w:tcPr>
            <w:tcW w:w="124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rPr>
              <w:t>2020-1-</w:t>
            </w:r>
            <w:r>
              <w:rPr>
                <w:rFonts w:hint="eastAsia" w:ascii="宋体" w:hAnsi="宋体" w:cs="宋体"/>
                <w:sz w:val="18"/>
                <w:szCs w:val="18"/>
                <w:lang w:val="en-US" w:eastAsia="zh-CN"/>
              </w:rPr>
              <w:t>31</w:t>
            </w:r>
          </w:p>
        </w:tc>
        <w:tc>
          <w:tcPr>
            <w:tcW w:w="1843"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066"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合计</w:t>
            </w:r>
          </w:p>
        </w:tc>
        <w:tc>
          <w:tcPr>
            <w:tcW w:w="92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85,675.08</w:t>
            </w:r>
          </w:p>
        </w:tc>
        <w:tc>
          <w:tcPr>
            <w:tcW w:w="127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87,024.95</w:t>
            </w:r>
          </w:p>
        </w:tc>
        <w:tc>
          <w:tcPr>
            <w:tcW w:w="125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698.36</w:t>
            </w:r>
          </w:p>
        </w:tc>
        <w:tc>
          <w:tcPr>
            <w:tcW w:w="129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73,710.23</w:t>
            </w:r>
          </w:p>
        </w:tc>
        <w:tc>
          <w:tcPr>
            <w:tcW w:w="114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4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843"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r>
    </w:tbl>
    <w:p>
      <w:pPr>
        <w:keepNext w:val="0"/>
        <w:keepLines w:val="0"/>
        <w:pageBreakBefore w:val="0"/>
        <w:widowControl w:val="0"/>
        <w:kinsoku/>
        <w:wordWrap/>
        <w:overflowPunct/>
        <w:topLinePunct w:val="0"/>
        <w:autoSpaceDE w:val="0"/>
        <w:autoSpaceDN w:val="0"/>
        <w:bidi w:val="0"/>
        <w:adjustRightInd w:val="0"/>
        <w:snapToGrid/>
        <w:spacing w:before="0" w:after="0" w:afterLines="0" w:line="360" w:lineRule="auto"/>
        <w:ind w:firstLine="480" w:firstLineChars="200"/>
        <w:textAlignment w:val="auto"/>
        <w:rPr>
          <w:sz w:val="24"/>
          <w:szCs w:val="24"/>
          <w:lang w:val="zh-CN"/>
        </w:rPr>
      </w:pPr>
      <w:r>
        <w:rPr>
          <w:rFonts w:hint="eastAsia"/>
          <w:sz w:val="24"/>
          <w:szCs w:val="24"/>
          <w:lang w:val="zh-CN"/>
        </w:rPr>
        <w:t>注1：本报告部分合计数与各加数直接相加之和在尾数上存在差异，这些差异是由于四舍五入所致。</w:t>
      </w:r>
    </w:p>
    <w:p>
      <w:pPr>
        <w:keepNext w:val="0"/>
        <w:keepLines w:val="0"/>
        <w:pageBreakBefore w:val="0"/>
        <w:widowControl w:val="0"/>
        <w:kinsoku/>
        <w:wordWrap/>
        <w:overflowPunct/>
        <w:topLinePunct w:val="0"/>
        <w:autoSpaceDE w:val="0"/>
        <w:autoSpaceDN w:val="0"/>
        <w:bidi w:val="0"/>
        <w:adjustRightInd w:val="0"/>
        <w:snapToGrid/>
        <w:spacing w:before="0" w:after="0" w:afterLines="0" w:line="360" w:lineRule="auto"/>
        <w:ind w:firstLine="480" w:firstLineChars="200"/>
        <w:textAlignment w:val="auto"/>
        <w:rPr>
          <w:sz w:val="24"/>
          <w:szCs w:val="24"/>
          <w:lang w:val="zh-CN"/>
        </w:rPr>
      </w:pPr>
      <w:r>
        <w:rPr>
          <w:rFonts w:hint="eastAsia"/>
          <w:sz w:val="24"/>
          <w:szCs w:val="24"/>
          <w:lang w:val="zh-CN"/>
        </w:rPr>
        <w:t>注2：募集资金承诺投资总额85,675.08万元与调整后投资总额87,024.95的差异1,349.87万元系东凤兴华农贸市场升级改造项目、农产品交易中心二期项目的原募集资金的理财利息收入，相关披露文件见中山公用公告“2017-048”、“2017-050”。</w:t>
      </w:r>
    </w:p>
    <w:p>
      <w:pPr>
        <w:keepNext w:val="0"/>
        <w:keepLines w:val="0"/>
        <w:pageBreakBefore w:val="0"/>
        <w:widowControl w:val="0"/>
        <w:kinsoku/>
        <w:wordWrap/>
        <w:overflowPunct/>
        <w:topLinePunct w:val="0"/>
        <w:autoSpaceDE w:val="0"/>
        <w:autoSpaceDN w:val="0"/>
        <w:bidi w:val="0"/>
        <w:adjustRightInd w:val="0"/>
        <w:snapToGrid/>
        <w:spacing w:before="0" w:after="0" w:afterLines="0" w:line="360" w:lineRule="auto"/>
        <w:ind w:firstLine="480" w:firstLineChars="200"/>
        <w:textAlignment w:val="auto"/>
        <w:rPr>
          <w:sz w:val="24"/>
          <w:szCs w:val="24"/>
          <w:lang w:val="zh-CN"/>
        </w:rPr>
      </w:pPr>
      <w:r>
        <w:rPr>
          <w:rFonts w:hint="eastAsia"/>
          <w:sz w:val="24"/>
          <w:szCs w:val="24"/>
          <w:lang w:val="zh-CN"/>
        </w:rPr>
        <w:t>注3：根据2017年9月27日召开的2017年第2次临时股东大会审议通过的《关于变更部分募集资金用途暨向子公司增资的议案》，中山市北部组团垃圾综合处理基地垃圾焚烧发电厂和垃圾渗滤液处理厂三期工程(扩容工程) 应使用募集资金28,605.97万元 ，截至20</w:t>
      </w:r>
      <w:r>
        <w:rPr>
          <w:sz w:val="24"/>
          <w:szCs w:val="24"/>
          <w:lang w:val="zh-CN"/>
        </w:rPr>
        <w:t>2</w:t>
      </w:r>
      <w:r>
        <w:rPr>
          <w:rFonts w:hint="eastAsia"/>
          <w:sz w:val="24"/>
          <w:szCs w:val="24"/>
          <w:lang w:val="zh-CN"/>
        </w:rPr>
        <w:t>1年3月31日累计投入金额</w:t>
      </w:r>
      <w:r>
        <w:rPr>
          <w:sz w:val="24"/>
          <w:szCs w:val="24"/>
          <w:lang w:val="zh-CN"/>
        </w:rPr>
        <w:t>29,309.49</w:t>
      </w:r>
      <w:r>
        <w:rPr>
          <w:rFonts w:hint="eastAsia"/>
          <w:sz w:val="24"/>
          <w:szCs w:val="24"/>
          <w:lang w:val="zh-CN"/>
        </w:rPr>
        <w:t>万元，累计投资额超出703.52万元，此部分资金为募集资金产生的银行利息收入及理财收益，并用于投资建设使用。</w:t>
      </w:r>
    </w:p>
    <w:p>
      <w:pPr>
        <w:pStyle w:val="7"/>
        <w:spacing w:before="0" w:beforeLines="-2147483648" w:after="0" w:afterLines="-2147483648" w:line="360" w:lineRule="auto"/>
        <w:outlineLvl w:val="1"/>
        <w:rPr>
          <w:rFonts w:hint="eastAsia" w:ascii="宋体" w:hAnsi="宋体"/>
          <w:sz w:val="24"/>
          <w:szCs w:val="20"/>
          <w:highlight w:val="none"/>
          <w:lang w:val="zh-CN"/>
        </w:rPr>
      </w:pPr>
      <w:bookmarkStart w:id="3" w:name="_GoBack"/>
      <w:bookmarkEnd w:id="3"/>
      <w:r>
        <w:rPr>
          <w:rFonts w:hint="eastAsia" w:ascii="宋体" w:hAnsi="宋体"/>
          <w:sz w:val="24"/>
          <w:szCs w:val="20"/>
          <w:highlight w:val="none"/>
          <w:lang w:val="zh-CN"/>
        </w:rPr>
        <w:t>(2)2019年公司债募集资金的实际使用情况如下表：</w:t>
      </w:r>
    </w:p>
    <w:p>
      <w:pPr>
        <w:autoSpaceDE w:val="0"/>
        <w:autoSpaceDN w:val="0"/>
        <w:adjustRightInd w:val="0"/>
        <w:spacing w:line="430" w:lineRule="exact"/>
        <w:ind w:firstLine="544"/>
        <w:jc w:val="center"/>
        <w:rPr>
          <w:szCs w:val="24"/>
          <w:lang w:val="zh-CN"/>
        </w:rPr>
      </w:pPr>
      <w:r>
        <w:rPr>
          <w:rFonts w:hint="eastAsia"/>
          <w:b/>
          <w:sz w:val="22"/>
          <w:szCs w:val="28"/>
          <w:lang w:val="zh-CN"/>
        </w:rPr>
        <w:t>募集资金使用情况对照表</w:t>
      </w:r>
      <w:r>
        <w:rPr>
          <w:szCs w:val="24"/>
          <w:lang w:val="zh-CN"/>
        </w:rPr>
        <w:t xml:space="preserve">      </w:t>
      </w:r>
    </w:p>
    <w:p>
      <w:pPr>
        <w:autoSpaceDE w:val="0"/>
        <w:autoSpaceDN w:val="0"/>
        <w:adjustRightInd w:val="0"/>
        <w:spacing w:line="430" w:lineRule="exact"/>
        <w:ind w:firstLine="544"/>
        <w:jc w:val="center"/>
        <w:rPr>
          <w:sz w:val="24"/>
          <w:szCs w:val="24"/>
          <w:lang w:val="zh-CN"/>
        </w:rPr>
      </w:pPr>
      <w:r>
        <w:rPr>
          <w:szCs w:val="24"/>
          <w:lang w:val="zh-CN"/>
        </w:rPr>
        <w:t xml:space="preserve">                                                                                 </w:t>
      </w:r>
      <w:r>
        <w:rPr>
          <w:rFonts w:hint="eastAsia"/>
          <w:szCs w:val="24"/>
          <w:lang w:val="zh-CN"/>
        </w:rPr>
        <w:t xml:space="preserve">        </w:t>
      </w:r>
      <w:r>
        <w:rPr>
          <w:szCs w:val="24"/>
          <w:lang w:val="zh-CN"/>
        </w:rPr>
        <w:t xml:space="preserve">  </w:t>
      </w:r>
      <w:r>
        <w:rPr>
          <w:sz w:val="24"/>
          <w:szCs w:val="24"/>
          <w:lang w:val="zh-CN"/>
        </w:rPr>
        <w:t xml:space="preserve"> </w:t>
      </w:r>
      <w:r>
        <w:rPr>
          <w:rFonts w:hint="eastAsia"/>
          <w:sz w:val="24"/>
          <w:szCs w:val="24"/>
          <w:lang w:val="zh-CN"/>
        </w:rPr>
        <w:t>单位：人民币万元</w:t>
      </w:r>
      <w:r>
        <w:rPr>
          <w:sz w:val="24"/>
          <w:szCs w:val="24"/>
          <w:lang w:val="zh-CN"/>
        </w:rPr>
        <w:t xml:space="preserve">     </w:t>
      </w:r>
    </w:p>
    <w:tbl>
      <w:tblPr>
        <w:tblStyle w:val="5"/>
        <w:tblW w:w="14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851"/>
        <w:gridCol w:w="1276"/>
        <w:gridCol w:w="1275"/>
        <w:gridCol w:w="1276"/>
        <w:gridCol w:w="1276"/>
        <w:gridCol w:w="1276"/>
        <w:gridCol w:w="1134"/>
        <w:gridCol w:w="1134"/>
        <w:gridCol w:w="992"/>
        <w:gridCol w:w="709"/>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337" w:type="dxa"/>
            <w:gridSpan w:val="4"/>
            <w:shd w:val="clear" w:color="auto" w:fill="D7D7D7" w:themeFill="background1" w:themeFillShade="D8"/>
            <w:vAlign w:val="center"/>
          </w:tcPr>
          <w:p>
            <w:pPr>
              <w:rPr>
                <w:rFonts w:hint="eastAsia" w:ascii="宋体" w:hAnsi="宋体" w:eastAsia="宋体" w:cs="宋体"/>
                <w:sz w:val="18"/>
                <w:szCs w:val="18"/>
              </w:rPr>
            </w:pPr>
            <w:r>
              <w:rPr>
                <w:rFonts w:hint="eastAsia" w:ascii="宋体" w:hAnsi="宋体" w:eastAsia="宋体" w:cs="宋体"/>
                <w:sz w:val="18"/>
                <w:szCs w:val="18"/>
              </w:rPr>
              <w:t>募集资金净额</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99,500.00</w:t>
            </w:r>
          </w:p>
        </w:tc>
        <w:tc>
          <w:tcPr>
            <w:tcW w:w="5812" w:type="dxa"/>
            <w:gridSpan w:val="5"/>
            <w:shd w:val="clear" w:color="auto" w:fill="D7D7D7" w:themeFill="background1" w:themeFillShade="D8"/>
            <w:vAlign w:val="center"/>
          </w:tcPr>
          <w:p>
            <w:pPr>
              <w:rPr>
                <w:rFonts w:hint="eastAsia" w:ascii="宋体" w:hAnsi="宋体" w:eastAsia="宋体" w:cs="宋体"/>
                <w:sz w:val="18"/>
                <w:szCs w:val="18"/>
              </w:rPr>
            </w:pPr>
            <w:r>
              <w:rPr>
                <w:rFonts w:hint="eastAsia" w:ascii="宋体" w:hAnsi="宋体" w:eastAsia="宋体" w:cs="宋体"/>
                <w:sz w:val="18"/>
                <w:szCs w:val="18"/>
              </w:rPr>
              <w:t>本年度投入募集资金总额</w:t>
            </w:r>
          </w:p>
        </w:tc>
        <w:tc>
          <w:tcPr>
            <w:tcW w:w="2001" w:type="dxa"/>
            <w:gridSpan w:val="2"/>
            <w:vAlign w:val="center"/>
          </w:tcPr>
          <w:p>
            <w:pPr>
              <w:jc w:val="right"/>
              <w:rPr>
                <w:rFonts w:hint="eastAsia" w:ascii="宋体" w:hAnsi="宋体" w:eastAsia="宋体" w:cs="宋体"/>
                <w:sz w:val="18"/>
                <w:szCs w:val="18"/>
              </w:rPr>
            </w:pPr>
            <w:r>
              <w:rPr>
                <w:rFonts w:hint="eastAsia" w:ascii="宋体" w:hAnsi="宋体" w:eastAsia="宋体" w:cs="宋体"/>
                <w:sz w:val="18"/>
                <w:szCs w:val="18"/>
              </w:rPr>
              <w:t>121.00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337" w:type="dxa"/>
            <w:gridSpan w:val="4"/>
            <w:shd w:val="clear" w:color="auto" w:fill="D7D7D7" w:themeFill="background1" w:themeFillShade="D8"/>
            <w:vAlign w:val="center"/>
          </w:tcPr>
          <w:p>
            <w:pPr>
              <w:rPr>
                <w:rFonts w:hint="eastAsia" w:ascii="宋体" w:hAnsi="宋体" w:eastAsia="宋体" w:cs="宋体"/>
                <w:sz w:val="18"/>
                <w:szCs w:val="18"/>
              </w:rPr>
            </w:pPr>
            <w:r>
              <w:rPr>
                <w:rFonts w:hint="eastAsia" w:ascii="宋体" w:hAnsi="宋体" w:eastAsia="宋体" w:cs="宋体"/>
                <w:sz w:val="18"/>
                <w:szCs w:val="18"/>
              </w:rPr>
              <w:t>变更用途的募集资金总额</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5812" w:type="dxa"/>
            <w:gridSpan w:val="5"/>
            <w:vMerge w:val="restart"/>
            <w:shd w:val="clear" w:color="auto" w:fill="D7D7D7" w:themeFill="background1" w:themeFillShade="D8"/>
            <w:vAlign w:val="center"/>
          </w:tcPr>
          <w:p>
            <w:pPr>
              <w:rPr>
                <w:rFonts w:hint="eastAsia" w:ascii="宋体" w:hAnsi="宋体" w:eastAsia="宋体" w:cs="宋体"/>
                <w:sz w:val="18"/>
                <w:szCs w:val="18"/>
              </w:rPr>
            </w:pPr>
            <w:r>
              <w:rPr>
                <w:rFonts w:hint="eastAsia" w:ascii="宋体" w:hAnsi="宋体" w:eastAsia="宋体" w:cs="宋体"/>
                <w:sz w:val="18"/>
                <w:szCs w:val="18"/>
              </w:rPr>
              <w:t>已累计投入募集资金总额</w:t>
            </w:r>
          </w:p>
        </w:tc>
        <w:tc>
          <w:tcPr>
            <w:tcW w:w="2001" w:type="dxa"/>
            <w:gridSpan w:val="2"/>
            <w:vMerge w:val="restart"/>
            <w:vAlign w:val="center"/>
          </w:tcPr>
          <w:p>
            <w:pPr>
              <w:jc w:val="right"/>
              <w:rPr>
                <w:rFonts w:hint="eastAsia" w:ascii="宋体" w:hAnsi="宋体" w:eastAsia="宋体" w:cs="宋体"/>
                <w:sz w:val="18"/>
                <w:szCs w:val="18"/>
              </w:rPr>
            </w:pPr>
            <w:r>
              <w:rPr>
                <w:rFonts w:hint="eastAsia" w:ascii="宋体" w:hAnsi="宋体" w:eastAsia="宋体" w:cs="宋体"/>
                <w:sz w:val="18"/>
                <w:szCs w:val="18"/>
              </w:rPr>
              <w:t>99,652.51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337" w:type="dxa"/>
            <w:gridSpan w:val="4"/>
            <w:shd w:val="clear" w:color="auto" w:fill="D7D7D7" w:themeFill="background1" w:themeFillShade="D8"/>
            <w:vAlign w:val="center"/>
          </w:tcPr>
          <w:p>
            <w:pPr>
              <w:rPr>
                <w:rFonts w:hint="eastAsia" w:ascii="宋体" w:hAnsi="宋体" w:eastAsia="宋体" w:cs="宋体"/>
                <w:sz w:val="18"/>
                <w:szCs w:val="18"/>
              </w:rPr>
            </w:pPr>
            <w:r>
              <w:rPr>
                <w:rFonts w:hint="eastAsia" w:ascii="宋体" w:hAnsi="宋体" w:eastAsia="宋体" w:cs="宋体"/>
                <w:sz w:val="18"/>
                <w:szCs w:val="18"/>
              </w:rPr>
              <w:t>变更用途的募集资金总额比例</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5812" w:type="dxa"/>
            <w:gridSpan w:val="5"/>
            <w:vMerge w:val="continue"/>
            <w:shd w:val="clear" w:color="auto" w:fill="D7D7D7" w:themeFill="background1" w:themeFillShade="D8"/>
            <w:vAlign w:val="center"/>
          </w:tcPr>
          <w:p>
            <w:pPr>
              <w:jc w:val="center"/>
              <w:rPr>
                <w:rFonts w:hint="eastAsia" w:ascii="宋体" w:hAnsi="宋体" w:eastAsia="宋体" w:cs="宋体"/>
                <w:sz w:val="18"/>
                <w:szCs w:val="18"/>
              </w:rPr>
            </w:pPr>
          </w:p>
        </w:tc>
        <w:tc>
          <w:tcPr>
            <w:tcW w:w="2001" w:type="dxa"/>
            <w:gridSpan w:val="2"/>
            <w:vMerge w:val="continue"/>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935"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承诺投资项目和超募资金投向</w:t>
            </w:r>
          </w:p>
        </w:tc>
        <w:tc>
          <w:tcPr>
            <w:tcW w:w="851"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是否已变更项目（含部分变更）</w:t>
            </w:r>
          </w:p>
        </w:tc>
        <w:tc>
          <w:tcPr>
            <w:tcW w:w="1276"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募集资金承诺投资总额</w:t>
            </w:r>
          </w:p>
        </w:tc>
        <w:tc>
          <w:tcPr>
            <w:tcW w:w="1275"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调整后投资总额（1）</w:t>
            </w:r>
          </w:p>
        </w:tc>
        <w:tc>
          <w:tcPr>
            <w:tcW w:w="1276"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本年度投入金额</w:t>
            </w:r>
          </w:p>
        </w:tc>
        <w:tc>
          <w:tcPr>
            <w:tcW w:w="1276"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截至期末累计投入金额（2）</w:t>
            </w:r>
          </w:p>
        </w:tc>
        <w:tc>
          <w:tcPr>
            <w:tcW w:w="1276"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截至期末累计投入金额与承诺投入金额的差额(3)=(1)-(2)</w:t>
            </w:r>
          </w:p>
        </w:tc>
        <w:tc>
          <w:tcPr>
            <w:tcW w:w="1134"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截至期末投入进度(3)=(2)/(1)</w:t>
            </w:r>
          </w:p>
        </w:tc>
        <w:tc>
          <w:tcPr>
            <w:tcW w:w="1134"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项目达到预定可使用状态日期</w:t>
            </w:r>
          </w:p>
        </w:tc>
        <w:tc>
          <w:tcPr>
            <w:tcW w:w="992"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本年度实现的效益</w:t>
            </w:r>
          </w:p>
        </w:tc>
        <w:tc>
          <w:tcPr>
            <w:tcW w:w="709"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是否可达到预计效益</w:t>
            </w:r>
          </w:p>
        </w:tc>
        <w:tc>
          <w:tcPr>
            <w:tcW w:w="1292"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项目可行性是否发生重大变化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shd w:val="clear" w:color="auto" w:fill="D7D7D7" w:themeFill="background1" w:themeFillShade="D8"/>
            <w:vAlign w:val="center"/>
          </w:tcPr>
          <w:p>
            <w:pPr>
              <w:rPr>
                <w:rFonts w:hint="eastAsia" w:ascii="宋体" w:hAnsi="宋体" w:eastAsia="宋体" w:cs="宋体"/>
                <w:sz w:val="18"/>
                <w:szCs w:val="18"/>
              </w:rPr>
            </w:pPr>
            <w:r>
              <w:rPr>
                <w:rFonts w:hint="eastAsia" w:ascii="宋体" w:hAnsi="宋体" w:eastAsia="宋体" w:cs="宋体"/>
                <w:sz w:val="18"/>
                <w:szCs w:val="18"/>
              </w:rPr>
              <w:t>一、偿还银行借款，优化公司负债结构</w:t>
            </w:r>
          </w:p>
        </w:tc>
        <w:tc>
          <w:tcPr>
            <w:tcW w:w="85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85,000.00</w:t>
            </w:r>
          </w:p>
        </w:tc>
        <w:tc>
          <w:tcPr>
            <w:tcW w:w="127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85,000.00</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0.00</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80,000.00</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5,000.00</w:t>
            </w:r>
          </w:p>
        </w:tc>
        <w:tc>
          <w:tcPr>
            <w:tcW w:w="113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94.12%</w:t>
            </w:r>
          </w:p>
        </w:tc>
        <w:tc>
          <w:tcPr>
            <w:tcW w:w="113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99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709"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9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shd w:val="clear" w:color="auto" w:fill="D7D7D7" w:themeFill="background1" w:themeFillShade="D8"/>
            <w:vAlign w:val="center"/>
          </w:tcPr>
          <w:p>
            <w:pPr>
              <w:rPr>
                <w:rFonts w:hint="eastAsia" w:ascii="宋体" w:hAnsi="宋体" w:eastAsia="宋体" w:cs="宋体"/>
                <w:sz w:val="18"/>
                <w:szCs w:val="18"/>
              </w:rPr>
            </w:pPr>
            <w:r>
              <w:rPr>
                <w:rFonts w:hint="eastAsia" w:ascii="宋体" w:hAnsi="宋体" w:eastAsia="宋体" w:cs="宋体"/>
                <w:sz w:val="18"/>
                <w:szCs w:val="18"/>
              </w:rPr>
              <w:t>二、补充流动资金</w:t>
            </w:r>
          </w:p>
        </w:tc>
        <w:tc>
          <w:tcPr>
            <w:tcW w:w="85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14,500.00</w:t>
            </w:r>
          </w:p>
        </w:tc>
        <w:tc>
          <w:tcPr>
            <w:tcW w:w="127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14,500.00</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121.00</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19,652.51</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-5,152.51</w:t>
            </w:r>
          </w:p>
        </w:tc>
        <w:tc>
          <w:tcPr>
            <w:tcW w:w="113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135.53%</w:t>
            </w:r>
          </w:p>
        </w:tc>
        <w:tc>
          <w:tcPr>
            <w:tcW w:w="113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99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709"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9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935" w:type="dxa"/>
            <w:shd w:val="clear" w:color="auto" w:fill="D7D7D7" w:themeFill="background1" w:themeFillShade="D8"/>
            <w:vAlign w:val="center"/>
          </w:tcPr>
          <w:p>
            <w:pPr>
              <w:jc w:val="center"/>
              <w:rPr>
                <w:rFonts w:hint="eastAsia" w:ascii="宋体" w:hAnsi="宋体" w:eastAsia="宋体" w:cs="宋体"/>
                <w:sz w:val="18"/>
                <w:szCs w:val="18"/>
              </w:rPr>
            </w:pPr>
            <w:r>
              <w:rPr>
                <w:rFonts w:hint="eastAsia" w:ascii="宋体" w:hAnsi="宋体" w:eastAsia="宋体" w:cs="宋体"/>
                <w:sz w:val="18"/>
                <w:szCs w:val="18"/>
              </w:rPr>
              <w:t>合计</w:t>
            </w:r>
          </w:p>
        </w:tc>
        <w:tc>
          <w:tcPr>
            <w:tcW w:w="85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99,500.00</w:t>
            </w:r>
          </w:p>
        </w:tc>
        <w:tc>
          <w:tcPr>
            <w:tcW w:w="127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99,500.00</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121.00</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99,652.51</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-152.51</w:t>
            </w:r>
          </w:p>
        </w:tc>
        <w:tc>
          <w:tcPr>
            <w:tcW w:w="113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13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99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709"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9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37" w:type="dxa"/>
            <w:gridSpan w:val="4"/>
            <w:shd w:val="clear" w:color="auto" w:fill="D7D7D7" w:themeFill="background1" w:themeFillShade="D8"/>
            <w:vAlign w:val="center"/>
          </w:tcPr>
          <w:p>
            <w:pPr>
              <w:rPr>
                <w:rFonts w:hint="eastAsia" w:ascii="宋体" w:hAnsi="宋体" w:eastAsia="宋体" w:cs="宋体"/>
                <w:sz w:val="18"/>
                <w:szCs w:val="18"/>
              </w:rPr>
            </w:pPr>
            <w:r>
              <w:rPr>
                <w:rFonts w:hint="eastAsia" w:ascii="宋体" w:hAnsi="宋体" w:eastAsia="宋体" w:cs="宋体"/>
                <w:sz w:val="18"/>
                <w:szCs w:val="18"/>
              </w:rPr>
              <w:t>募集资金其他使用情况</w:t>
            </w:r>
          </w:p>
        </w:tc>
        <w:tc>
          <w:tcPr>
            <w:tcW w:w="9089" w:type="dxa"/>
            <w:gridSpan w:val="8"/>
            <w:vAlign w:val="center"/>
          </w:tcPr>
          <w:p>
            <w:pPr>
              <w:autoSpaceDE w:val="0"/>
              <w:autoSpaceDN w:val="0"/>
              <w:adjustRightInd w:val="0"/>
              <w:jc w:val="center"/>
              <w:rPr>
                <w:rFonts w:hint="eastAsia" w:ascii="宋体" w:hAnsi="宋体" w:eastAsia="宋体" w:cs="宋体"/>
                <w:sz w:val="18"/>
                <w:szCs w:val="18"/>
              </w:rPr>
            </w:pPr>
            <w:r>
              <w:rPr>
                <w:rFonts w:hint="eastAsia" w:ascii="宋体" w:hAnsi="宋体" w:eastAsia="宋体" w:cs="宋体"/>
                <w:sz w:val="18"/>
                <w:szCs w:val="18"/>
              </w:rPr>
              <w:t>无</w:t>
            </w:r>
          </w:p>
        </w:tc>
      </w:tr>
    </w:tbl>
    <w:p>
      <w:pPr>
        <w:keepNext w:val="0"/>
        <w:keepLines w:val="0"/>
        <w:pageBreakBefore w:val="0"/>
        <w:widowControl w:val="0"/>
        <w:kinsoku/>
        <w:wordWrap/>
        <w:overflowPunct/>
        <w:topLinePunct w:val="0"/>
        <w:autoSpaceDE w:val="0"/>
        <w:autoSpaceDN w:val="0"/>
        <w:bidi w:val="0"/>
        <w:adjustRightInd w:val="0"/>
        <w:snapToGrid/>
        <w:spacing w:before="0" w:after="0" w:afterLines="0" w:line="360" w:lineRule="auto"/>
        <w:ind w:firstLine="480" w:firstLineChars="200"/>
        <w:textAlignment w:val="auto"/>
        <w:rPr>
          <w:rFonts w:hint="eastAsia"/>
          <w:sz w:val="24"/>
          <w:szCs w:val="24"/>
          <w:lang w:val="zh-CN"/>
        </w:rPr>
      </w:pPr>
      <w:r>
        <w:rPr>
          <w:rFonts w:hint="eastAsia"/>
          <w:sz w:val="24"/>
          <w:szCs w:val="24"/>
          <w:lang w:val="zh-CN"/>
        </w:rPr>
        <w:t>注1：截至2021年</w:t>
      </w:r>
      <w:r>
        <w:rPr>
          <w:rFonts w:hint="eastAsia"/>
          <w:sz w:val="24"/>
          <w:szCs w:val="24"/>
          <w:lang w:val="en-US" w:eastAsia="zh-CN"/>
        </w:rPr>
        <w:t>3月31日，</w:t>
      </w:r>
      <w:r>
        <w:rPr>
          <w:rFonts w:hint="eastAsia"/>
          <w:sz w:val="24"/>
          <w:szCs w:val="24"/>
          <w:lang w:val="zh-CN"/>
        </w:rPr>
        <w:t>公司债募集资金净额99,500.00万元，累计投入99,652.51万元，差异152.51万元，为扣除银行手续费后的存款利息收入。</w:t>
      </w:r>
    </w:p>
    <w:p>
      <w:pPr>
        <w:keepNext w:val="0"/>
        <w:keepLines w:val="0"/>
        <w:pageBreakBefore w:val="0"/>
        <w:widowControl w:val="0"/>
        <w:kinsoku/>
        <w:wordWrap/>
        <w:overflowPunct/>
        <w:topLinePunct w:val="0"/>
        <w:autoSpaceDE w:val="0"/>
        <w:autoSpaceDN w:val="0"/>
        <w:bidi w:val="0"/>
        <w:adjustRightInd w:val="0"/>
        <w:snapToGrid/>
        <w:spacing w:before="0" w:after="0" w:afterLines="0" w:line="360" w:lineRule="auto"/>
        <w:ind w:firstLine="480" w:firstLineChars="200"/>
        <w:textAlignment w:val="auto"/>
        <w:rPr>
          <w:rFonts w:hint="eastAsia"/>
          <w:sz w:val="24"/>
          <w:szCs w:val="24"/>
          <w:lang w:val="zh-CN"/>
        </w:rPr>
      </w:pPr>
      <w:r>
        <w:rPr>
          <w:rFonts w:hint="eastAsia"/>
          <w:sz w:val="24"/>
          <w:szCs w:val="24"/>
          <w:lang w:val="zh-CN"/>
        </w:rPr>
        <w:t>注2：本期债券募集资金说明书明确:“因本期债券的发行时间尚有一定不确定性，待本期债券发行完毕，募集资金到账后，公司将本着有利于优化公司债务结构、尽可能节省公司利息费用的原则，对具体偿还计划进行调整，灵活安排偿还公司债务的具体事宜。”</w:t>
      </w:r>
    </w:p>
    <w:p>
      <w:pPr>
        <w:keepNext w:val="0"/>
        <w:keepLines w:val="0"/>
        <w:pageBreakBefore w:val="0"/>
        <w:widowControl w:val="0"/>
        <w:kinsoku/>
        <w:wordWrap/>
        <w:overflowPunct/>
        <w:topLinePunct w:val="0"/>
        <w:autoSpaceDE w:val="0"/>
        <w:autoSpaceDN w:val="0"/>
        <w:bidi w:val="0"/>
        <w:adjustRightInd w:val="0"/>
        <w:snapToGrid/>
        <w:spacing w:before="0" w:after="0" w:afterLines="0" w:line="360" w:lineRule="auto"/>
        <w:ind w:firstLine="480" w:firstLineChars="200"/>
        <w:textAlignment w:val="auto"/>
        <w:rPr>
          <w:rFonts w:hint="eastAsia"/>
          <w:sz w:val="24"/>
          <w:szCs w:val="24"/>
          <w:lang w:val="zh-CN"/>
        </w:rPr>
        <w:sectPr>
          <w:pgSz w:w="16838" w:h="11906" w:orient="landscape"/>
          <w:pgMar w:top="1134" w:right="1440" w:bottom="1134" w:left="1440" w:header="851" w:footer="992" w:gutter="0"/>
          <w:cols w:space="425" w:num="1"/>
          <w:docGrid w:type="lines" w:linePitch="312" w:charSpace="0"/>
        </w:sectPr>
      </w:pPr>
      <w:r>
        <w:rPr>
          <w:rFonts w:hint="eastAsia"/>
          <w:sz w:val="24"/>
          <w:szCs w:val="24"/>
          <w:lang w:val="zh-CN"/>
        </w:rPr>
        <w:t>在偿还银行贷款范围中，中信银行0.5亿元贷款于2019年3月4日到期，而募集资金于3月6日到账，到账后签署三方监管协议后方可使用资金。募集资金可使用时间晚于该部分银行贷款到期时间，在银行贷款到期时，公司已使用自有资金进行偿还。 “公司从募集资金专户划转0.5亿元资金归还偿还银行贷款的自有资金”，符合募集资金说明书明确的资金使用调整规定。</w:t>
      </w:r>
    </w:p>
    <w:p>
      <w:pPr>
        <w:pStyle w:val="7"/>
        <w:spacing w:before="0" w:beforeLines="-2147483648" w:after="0" w:afterLines="-2147483648" w:line="360" w:lineRule="auto"/>
        <w:outlineLvl w:val="1"/>
        <w:rPr>
          <w:rFonts w:hint="eastAsia" w:ascii="宋体" w:hAnsi="宋体"/>
          <w:sz w:val="24"/>
          <w:szCs w:val="22"/>
        </w:rPr>
      </w:pPr>
      <w:r>
        <w:rPr>
          <w:rFonts w:hint="eastAsia" w:ascii="宋体" w:hAnsi="宋体"/>
          <w:sz w:val="24"/>
          <w:szCs w:val="22"/>
        </w:rPr>
        <w:t>六、对2021年1-6月经营业绩的预计</w:t>
      </w:r>
    </w:p>
    <w:p>
      <w:pPr>
        <w:spacing w:before="0" w:beforeLines="-2147483648" w:after="0" w:afterLines="-2147483648" w:line="360" w:lineRule="auto"/>
        <w:jc w:val="left"/>
        <w:rPr>
          <w:rFonts w:hint="eastAsia" w:ascii="宋体" w:hAnsi="宋体"/>
          <w:sz w:val="24"/>
          <w:szCs w:val="22"/>
        </w:rPr>
      </w:pPr>
      <w:r>
        <w:rPr>
          <w:rFonts w:hint="eastAsia" w:ascii="宋体" w:hAnsi="宋体"/>
          <w:sz w:val="24"/>
          <w:szCs w:val="22"/>
        </w:rPr>
        <w:t>预测年初至下一报告期期末的累计净利润可能为亏损或者与上年同期相比发生大幅度变动的警示及原因说明</w:t>
      </w:r>
    </w:p>
    <w:p>
      <w:pPr>
        <w:spacing w:before="0" w:beforeLines="-2147483648" w:after="0" w:afterLines="-2147483648" w:line="360" w:lineRule="auto"/>
        <w:jc w:val="left"/>
        <w:rPr>
          <w:rFonts w:hint="eastAsia" w:ascii="宋体" w:hAnsi="宋体"/>
          <w:sz w:val="24"/>
          <w:szCs w:val="22"/>
        </w:rPr>
      </w:pPr>
      <w:r>
        <w:rPr>
          <w:rFonts w:hint="eastAsia" w:ascii="宋体" w:hAnsi="宋体"/>
          <w:sz w:val="24"/>
          <w:szCs w:val="22"/>
        </w:rPr>
        <w:t xml:space="preserve">□ 适用 √ 不适用 </w:t>
      </w:r>
    </w:p>
    <w:p>
      <w:pPr>
        <w:pStyle w:val="7"/>
        <w:spacing w:before="0" w:beforeLines="-2147483648" w:after="0" w:afterLines="-2147483648" w:line="360" w:lineRule="auto"/>
        <w:outlineLvl w:val="1"/>
        <w:rPr>
          <w:rFonts w:hint="eastAsia" w:ascii="宋体" w:hAnsi="宋体" w:eastAsia="宋体"/>
          <w:sz w:val="24"/>
          <w:szCs w:val="22"/>
        </w:rPr>
      </w:pPr>
      <w:r>
        <w:rPr>
          <w:rFonts w:hint="eastAsia" w:ascii="宋体" w:hAnsi="宋体" w:eastAsia="宋体"/>
          <w:sz w:val="24"/>
          <w:szCs w:val="22"/>
        </w:rPr>
        <w:t>七、日常经营重大合同</w:t>
      </w:r>
    </w:p>
    <w:p>
      <w:pPr>
        <w:spacing w:before="0" w:beforeLines="-2147483648" w:after="0" w:afterLines="-2147483648" w:line="360" w:lineRule="auto"/>
        <w:jc w:val="left"/>
        <w:rPr>
          <w:rFonts w:hint="eastAsia" w:ascii="宋体" w:hAnsi="宋体" w:eastAsia="宋体"/>
          <w:sz w:val="24"/>
          <w:szCs w:val="22"/>
        </w:rPr>
      </w:pPr>
      <w:r>
        <w:rPr>
          <w:rFonts w:hint="eastAsia" w:ascii="宋体" w:hAnsi="宋体" w:eastAsia="宋体"/>
          <w:sz w:val="24"/>
          <w:szCs w:val="22"/>
        </w:rPr>
        <w:t xml:space="preserve">□ 适用 √ 不适用 </w:t>
      </w:r>
    </w:p>
    <w:p>
      <w:pPr>
        <w:pStyle w:val="7"/>
        <w:spacing w:before="0" w:beforeLines="-2147483648" w:after="0" w:afterLines="-2147483648" w:line="360" w:lineRule="auto"/>
        <w:outlineLvl w:val="1"/>
        <w:rPr>
          <w:rFonts w:hint="eastAsia" w:ascii="宋体" w:hAnsi="宋体" w:eastAsia="宋体"/>
          <w:sz w:val="24"/>
          <w:szCs w:val="22"/>
        </w:rPr>
      </w:pPr>
      <w:r>
        <w:rPr>
          <w:rFonts w:hint="eastAsia" w:ascii="宋体" w:hAnsi="宋体" w:eastAsia="宋体"/>
          <w:sz w:val="24"/>
          <w:szCs w:val="22"/>
        </w:rPr>
        <w:t>八、委托理财</w:t>
      </w:r>
    </w:p>
    <w:p>
      <w:pPr>
        <w:spacing w:before="0" w:beforeLines="-2147483648" w:after="0" w:afterLines="-2147483648" w:line="360" w:lineRule="auto"/>
        <w:jc w:val="left"/>
        <w:rPr>
          <w:rFonts w:hint="eastAsia" w:ascii="宋体" w:hAnsi="宋体"/>
          <w:sz w:val="24"/>
          <w:szCs w:val="20"/>
        </w:rPr>
      </w:pPr>
      <w:r>
        <w:rPr>
          <w:rFonts w:hint="eastAsia" w:ascii="宋体" w:hAnsi="宋体"/>
          <w:sz w:val="24"/>
          <w:szCs w:val="20"/>
        </w:rPr>
        <w:t xml:space="preserve">√ 适用 □ 不适用 </w:t>
      </w:r>
    </w:p>
    <w:p>
      <w:pPr>
        <w:spacing w:beforeLines="0" w:afterLines="0"/>
        <w:jc w:val="right"/>
        <w:rPr>
          <w:rFonts w:hint="eastAsia"/>
          <w:sz w:val="18"/>
          <w:szCs w:val="24"/>
        </w:rPr>
      </w:pPr>
      <w:r>
        <w:rPr>
          <w:rFonts w:hint="eastAsia" w:ascii="宋体" w:hAnsi="宋体"/>
          <w:color w:val="000000" w:themeColor="text1"/>
          <w:sz w:val="24"/>
          <w:szCs w:val="24"/>
          <w:lang w:bidi="ar-SA"/>
          <w14:textFill>
            <w14:solidFill>
              <w14:schemeClr w14:val="tx1"/>
            </w14:solidFill>
          </w14:textFill>
        </w:rPr>
        <w:t>单位：万元</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8"/>
        <w:gridCol w:w="1959"/>
        <w:gridCol w:w="1981"/>
        <w:gridCol w:w="1909"/>
        <w:gridCol w:w="1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具体类型</w:t>
            </w:r>
          </w:p>
        </w:tc>
        <w:tc>
          <w:tcPr>
            <w:tcW w:w="19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委托理财的资金来源</w:t>
            </w:r>
          </w:p>
        </w:tc>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委托理财发生额</w:t>
            </w:r>
          </w:p>
        </w:tc>
        <w:tc>
          <w:tcPr>
            <w:tcW w:w="190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未到期余额</w:t>
            </w:r>
          </w:p>
        </w:tc>
        <w:tc>
          <w:tcPr>
            <w:tcW w:w="18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逾期未收回的金额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银行理财产品</w:t>
            </w:r>
          </w:p>
        </w:tc>
        <w:tc>
          <w:tcPr>
            <w:tcW w:w="19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闲置自有资金</w:t>
            </w:r>
          </w:p>
        </w:tc>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10,500</w:t>
            </w:r>
          </w:p>
        </w:tc>
        <w:tc>
          <w:tcPr>
            <w:tcW w:w="19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7,500</w:t>
            </w:r>
          </w:p>
        </w:tc>
        <w:tc>
          <w:tcPr>
            <w:tcW w:w="18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827"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10,500</w:t>
            </w:r>
          </w:p>
        </w:tc>
        <w:tc>
          <w:tcPr>
            <w:tcW w:w="19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7,500</w:t>
            </w:r>
          </w:p>
        </w:tc>
        <w:tc>
          <w:tcPr>
            <w:tcW w:w="18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r>
    </w:tbl>
    <w:p>
      <w:pPr>
        <w:spacing w:before="0" w:beforeLines="-2147483648" w:after="0" w:afterLines="-2147483648" w:line="360" w:lineRule="auto"/>
        <w:jc w:val="left"/>
        <w:rPr>
          <w:rFonts w:hint="eastAsia" w:ascii="宋体" w:hAnsi="宋体"/>
          <w:sz w:val="24"/>
          <w:szCs w:val="20"/>
        </w:rPr>
      </w:pPr>
      <w:r>
        <w:rPr>
          <w:rFonts w:hint="eastAsia" w:ascii="宋体" w:hAnsi="宋体"/>
          <w:sz w:val="24"/>
          <w:szCs w:val="20"/>
        </w:rPr>
        <w:t>单项金额重大或安全性较低、流动性较差、不保本的高风险委托理财具体情况</w:t>
      </w:r>
    </w:p>
    <w:p>
      <w:pPr>
        <w:spacing w:before="0" w:beforeLines="-2147483648" w:after="0" w:afterLines="-2147483648" w:line="360" w:lineRule="auto"/>
        <w:jc w:val="left"/>
        <w:rPr>
          <w:rFonts w:hint="eastAsia" w:ascii="宋体" w:hAnsi="宋体"/>
          <w:sz w:val="24"/>
          <w:szCs w:val="20"/>
        </w:rPr>
      </w:pPr>
      <w:r>
        <w:rPr>
          <w:rFonts w:hint="eastAsia" w:ascii="宋体" w:hAnsi="宋体"/>
          <w:sz w:val="24"/>
          <w:szCs w:val="20"/>
        </w:rPr>
        <w:t>√ 适用 □ 不适用</w:t>
      </w:r>
    </w:p>
    <w:p>
      <w:pPr>
        <w:spacing w:beforeLines="-2147483648" w:afterLines="-2147483648"/>
        <w:jc w:val="right"/>
        <w:rPr>
          <w:rFonts w:hint="eastAsia" w:ascii="宋体" w:hAnsi="宋体"/>
          <w:color w:val="000000" w:themeColor="text1"/>
          <w:sz w:val="24"/>
          <w:szCs w:val="24"/>
          <w:lang w:bidi="ar-SA"/>
          <w14:textFill>
            <w14:solidFill>
              <w14:schemeClr w14:val="tx1"/>
            </w14:solidFill>
          </w14:textFill>
        </w:rPr>
      </w:pPr>
      <w:r>
        <w:rPr>
          <w:rFonts w:hint="eastAsia" w:ascii="宋体" w:hAnsi="宋体"/>
          <w:color w:val="000000" w:themeColor="text1"/>
          <w:sz w:val="24"/>
          <w:szCs w:val="24"/>
          <w:lang w:bidi="ar-SA"/>
          <w14:textFill>
            <w14:solidFill>
              <w14:schemeClr w14:val="tx1"/>
            </w14:solidFill>
          </w14:textFill>
        </w:rPr>
        <w:t>单位：万元</w:t>
      </w:r>
    </w:p>
    <w:tbl>
      <w:tblPr>
        <w:tblStyle w:val="5"/>
        <w:tblW w:w="112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1"/>
        <w:gridCol w:w="600"/>
        <w:gridCol w:w="799"/>
        <w:gridCol w:w="787"/>
        <w:gridCol w:w="630"/>
        <w:gridCol w:w="645"/>
        <w:gridCol w:w="735"/>
        <w:gridCol w:w="630"/>
        <w:gridCol w:w="690"/>
        <w:gridCol w:w="690"/>
        <w:gridCol w:w="690"/>
        <w:gridCol w:w="720"/>
        <w:gridCol w:w="765"/>
        <w:gridCol w:w="435"/>
        <w:gridCol w:w="432"/>
        <w:gridCol w:w="645"/>
        <w:gridCol w:w="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5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受托机构名称（或受托人姓名）</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受托机构（或受托人）类型</w:t>
            </w:r>
          </w:p>
        </w:tc>
        <w:tc>
          <w:tcPr>
            <w:tcW w:w="7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产品类型</w:t>
            </w:r>
          </w:p>
        </w:tc>
        <w:tc>
          <w:tcPr>
            <w:tcW w:w="7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金额</w:t>
            </w:r>
          </w:p>
        </w:tc>
        <w:tc>
          <w:tcPr>
            <w:tcW w:w="6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资金来源</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起始日期</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终止日期</w:t>
            </w:r>
          </w:p>
        </w:tc>
        <w:tc>
          <w:tcPr>
            <w:tcW w:w="6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资金投向</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报酬确定方式</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参考年化收益率</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预期收益</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报告期实际损益金额</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报告期损益实际收回情况</w:t>
            </w:r>
          </w:p>
        </w:tc>
        <w:tc>
          <w:tcPr>
            <w:tcW w:w="4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计提减值准备金额</w:t>
            </w:r>
          </w:p>
        </w:tc>
        <w:tc>
          <w:tcPr>
            <w:tcW w:w="4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是否经过法定程序</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未来是否还有委托理财计划</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事项概述及相关查询索引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广发银行</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w:t>
            </w:r>
          </w:p>
        </w:tc>
        <w:tc>
          <w:tcPr>
            <w:tcW w:w="7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结构性存款</w:t>
            </w:r>
          </w:p>
        </w:tc>
        <w:tc>
          <w:tcPr>
            <w:tcW w:w="7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3,000</w:t>
            </w:r>
          </w:p>
        </w:tc>
        <w:tc>
          <w:tcPr>
            <w:tcW w:w="6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闲置自有资金</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2021年01月12日</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2021年04月12日</w:t>
            </w:r>
          </w:p>
        </w:tc>
        <w:tc>
          <w:tcPr>
            <w:tcW w:w="6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保本浮动收益型</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3.20%</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23.67</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0</w:t>
            </w:r>
          </w:p>
        </w:tc>
        <w:tc>
          <w:tcPr>
            <w:tcW w:w="4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4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广发银行</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w:t>
            </w:r>
          </w:p>
        </w:tc>
        <w:tc>
          <w:tcPr>
            <w:tcW w:w="7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结构性存款</w:t>
            </w:r>
          </w:p>
        </w:tc>
        <w:tc>
          <w:tcPr>
            <w:tcW w:w="7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3,000</w:t>
            </w:r>
          </w:p>
        </w:tc>
        <w:tc>
          <w:tcPr>
            <w:tcW w:w="6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闲置自有资金</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2021年01月12日</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2021年02月23日</w:t>
            </w:r>
          </w:p>
        </w:tc>
        <w:tc>
          <w:tcPr>
            <w:tcW w:w="6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保本浮动收益型</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3.15%</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10.87</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10.87</w:t>
            </w:r>
          </w:p>
        </w:tc>
        <w:tc>
          <w:tcPr>
            <w:tcW w:w="4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4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7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广发银行</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w:t>
            </w:r>
          </w:p>
        </w:tc>
        <w:tc>
          <w:tcPr>
            <w:tcW w:w="7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结构性存款</w:t>
            </w:r>
          </w:p>
        </w:tc>
        <w:tc>
          <w:tcPr>
            <w:tcW w:w="7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3,000</w:t>
            </w:r>
          </w:p>
        </w:tc>
        <w:tc>
          <w:tcPr>
            <w:tcW w:w="6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闲置自有资金</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2021年02月25日</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2021年05月24日</w:t>
            </w:r>
          </w:p>
        </w:tc>
        <w:tc>
          <w:tcPr>
            <w:tcW w:w="6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保本浮动收益型</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3.50%</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25.32</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0</w:t>
            </w:r>
          </w:p>
        </w:tc>
        <w:tc>
          <w:tcPr>
            <w:tcW w:w="4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4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浦发银行</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w:t>
            </w:r>
          </w:p>
        </w:tc>
        <w:tc>
          <w:tcPr>
            <w:tcW w:w="7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公司稳利固定有期JG9014期</w:t>
            </w:r>
          </w:p>
        </w:tc>
        <w:tc>
          <w:tcPr>
            <w:tcW w:w="7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1,500</w:t>
            </w:r>
          </w:p>
        </w:tc>
        <w:tc>
          <w:tcPr>
            <w:tcW w:w="6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闲置自有资金</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2021年03月19日</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2021年06月17日</w:t>
            </w:r>
          </w:p>
        </w:tc>
        <w:tc>
          <w:tcPr>
            <w:tcW w:w="6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保本浮动收益型</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3.35%</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12.39</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0</w:t>
            </w:r>
          </w:p>
        </w:tc>
        <w:tc>
          <w:tcPr>
            <w:tcW w:w="4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4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50"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合计</w:t>
            </w:r>
          </w:p>
        </w:tc>
        <w:tc>
          <w:tcPr>
            <w:tcW w:w="7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10,500</w:t>
            </w:r>
          </w:p>
        </w:tc>
        <w:tc>
          <w:tcPr>
            <w:tcW w:w="6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6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61.38</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10.87</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4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4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r>
    </w:tbl>
    <w:p>
      <w:pPr>
        <w:spacing w:before="0" w:beforeLines="-2147483648" w:after="0" w:afterLines="-2147483648" w:line="360" w:lineRule="auto"/>
        <w:jc w:val="left"/>
        <w:rPr>
          <w:rFonts w:hint="eastAsia" w:ascii="宋体" w:hAnsi="宋体"/>
          <w:sz w:val="24"/>
          <w:szCs w:val="22"/>
        </w:rPr>
      </w:pPr>
      <w:r>
        <w:rPr>
          <w:rFonts w:hint="eastAsia" w:ascii="宋体" w:hAnsi="宋体"/>
          <w:sz w:val="24"/>
          <w:szCs w:val="22"/>
        </w:rPr>
        <w:t>委托理财出现预期无法收回本金或存在其他可能导致减值的情形</w:t>
      </w:r>
    </w:p>
    <w:p>
      <w:pPr>
        <w:spacing w:before="0" w:beforeLines="-2147483648" w:after="0" w:afterLines="-2147483648" w:line="360" w:lineRule="auto"/>
        <w:jc w:val="left"/>
        <w:rPr>
          <w:rFonts w:hint="eastAsia"/>
          <w:sz w:val="18"/>
          <w:szCs w:val="24"/>
        </w:rPr>
      </w:pPr>
      <w:r>
        <w:rPr>
          <w:rFonts w:hint="eastAsia" w:ascii="宋体" w:hAnsi="宋体"/>
          <w:sz w:val="24"/>
          <w:szCs w:val="22"/>
        </w:rPr>
        <w:t>□ 适用 √ 不适用</w:t>
      </w:r>
      <w:r>
        <w:rPr>
          <w:rFonts w:hint="eastAsia"/>
          <w:sz w:val="18"/>
          <w:szCs w:val="24"/>
        </w:rPr>
        <w:t xml:space="preserve"> </w:t>
      </w:r>
    </w:p>
    <w:p>
      <w:pPr>
        <w:pStyle w:val="7"/>
        <w:spacing w:before="0" w:beforeLines="-2147483648" w:after="0" w:afterLines="-2147483648" w:line="360" w:lineRule="auto"/>
        <w:outlineLvl w:val="1"/>
        <w:rPr>
          <w:rFonts w:hint="eastAsia" w:ascii="宋体" w:hAnsi="宋体"/>
          <w:sz w:val="24"/>
          <w:szCs w:val="22"/>
        </w:rPr>
      </w:pPr>
      <w:r>
        <w:rPr>
          <w:rFonts w:hint="eastAsia" w:ascii="宋体" w:hAnsi="宋体"/>
          <w:sz w:val="24"/>
          <w:szCs w:val="22"/>
        </w:rPr>
        <w:t>九、违规对外担保情况</w:t>
      </w:r>
    </w:p>
    <w:p>
      <w:pPr>
        <w:spacing w:before="0" w:beforeLines="-2147483648" w:after="0" w:afterLines="-2147483648" w:line="360" w:lineRule="auto"/>
        <w:jc w:val="left"/>
        <w:rPr>
          <w:rFonts w:hint="eastAsia" w:ascii="宋体" w:hAnsi="宋体"/>
          <w:sz w:val="24"/>
          <w:szCs w:val="22"/>
        </w:rPr>
      </w:pPr>
      <w:r>
        <w:rPr>
          <w:rFonts w:hint="eastAsia" w:ascii="宋体" w:hAnsi="宋体"/>
          <w:sz w:val="24"/>
          <w:szCs w:val="22"/>
        </w:rPr>
        <w:t xml:space="preserve">□ 适用 √ 不适用 </w:t>
      </w:r>
    </w:p>
    <w:p>
      <w:pPr>
        <w:spacing w:before="0" w:beforeLines="-2147483648" w:after="0" w:afterLines="-2147483648" w:line="360" w:lineRule="auto"/>
        <w:jc w:val="left"/>
        <w:rPr>
          <w:rFonts w:hint="eastAsia" w:ascii="宋体" w:hAnsi="宋体"/>
          <w:sz w:val="24"/>
          <w:szCs w:val="22"/>
        </w:rPr>
      </w:pPr>
      <w:r>
        <w:rPr>
          <w:rFonts w:hint="eastAsia" w:ascii="宋体" w:hAnsi="宋体"/>
          <w:sz w:val="24"/>
          <w:szCs w:val="22"/>
        </w:rPr>
        <w:t>公司报告期无违规对外担保情况。</w:t>
      </w:r>
    </w:p>
    <w:p>
      <w:pPr>
        <w:pStyle w:val="7"/>
        <w:spacing w:before="0" w:beforeLines="-2147483648" w:after="0" w:afterLines="-2147483648" w:line="360" w:lineRule="auto"/>
        <w:outlineLvl w:val="1"/>
        <w:rPr>
          <w:rFonts w:hint="eastAsia" w:ascii="宋体" w:hAnsi="宋体" w:eastAsia="宋体"/>
          <w:sz w:val="24"/>
          <w:szCs w:val="22"/>
        </w:rPr>
      </w:pPr>
      <w:r>
        <w:rPr>
          <w:rFonts w:hint="eastAsia" w:ascii="宋体" w:hAnsi="宋体" w:eastAsia="宋体"/>
          <w:sz w:val="24"/>
          <w:szCs w:val="22"/>
        </w:rPr>
        <w:t>十、控股股东及其关联方对上市公司的非经营性占用资金情况</w:t>
      </w:r>
    </w:p>
    <w:p>
      <w:pPr>
        <w:spacing w:before="0" w:beforeLines="-2147483648" w:after="0" w:afterLines="-2147483648" w:line="360" w:lineRule="auto"/>
        <w:jc w:val="left"/>
        <w:rPr>
          <w:rFonts w:hint="eastAsia" w:ascii="宋体" w:hAnsi="宋体" w:eastAsia="宋体"/>
          <w:sz w:val="24"/>
          <w:szCs w:val="22"/>
        </w:rPr>
      </w:pPr>
      <w:r>
        <w:rPr>
          <w:rFonts w:hint="eastAsia" w:ascii="宋体" w:hAnsi="宋体" w:eastAsia="宋体"/>
          <w:sz w:val="24"/>
          <w:szCs w:val="22"/>
        </w:rPr>
        <w:t xml:space="preserve">□ 适用 √ 不适用 </w:t>
      </w:r>
    </w:p>
    <w:p>
      <w:pPr>
        <w:spacing w:before="0" w:beforeLines="-2147483648" w:after="0" w:afterLines="-2147483648" w:line="360" w:lineRule="auto"/>
        <w:jc w:val="left"/>
        <w:rPr>
          <w:rFonts w:hint="eastAsia" w:ascii="宋体" w:hAnsi="宋体" w:eastAsia="宋体"/>
          <w:sz w:val="24"/>
          <w:szCs w:val="22"/>
        </w:rPr>
      </w:pPr>
      <w:r>
        <w:rPr>
          <w:rFonts w:hint="eastAsia" w:ascii="宋体" w:hAnsi="宋体" w:eastAsia="宋体"/>
          <w:sz w:val="24"/>
          <w:szCs w:val="22"/>
        </w:rPr>
        <w:t>公司报告期不存在控股股东及其关联方对上市公司的非经营性占用资金。</w:t>
      </w:r>
    </w:p>
    <w:p>
      <w:pPr>
        <w:pStyle w:val="7"/>
        <w:spacing w:before="0" w:beforeLines="-2147483648" w:after="0" w:afterLines="-2147483648" w:line="360" w:lineRule="auto"/>
        <w:outlineLvl w:val="1"/>
        <w:rPr>
          <w:rFonts w:hint="eastAsia" w:ascii="宋体" w:hAnsi="宋体" w:eastAsia="宋体"/>
          <w:sz w:val="24"/>
          <w:szCs w:val="22"/>
        </w:rPr>
      </w:pPr>
      <w:r>
        <w:rPr>
          <w:rFonts w:hint="eastAsia" w:ascii="宋体" w:hAnsi="宋体" w:eastAsia="宋体"/>
          <w:sz w:val="24"/>
          <w:szCs w:val="22"/>
        </w:rPr>
        <w:t>十一、报告期内接待调研、沟通、采访等活动登记表</w:t>
      </w:r>
    </w:p>
    <w:p>
      <w:pPr>
        <w:spacing w:before="0" w:beforeLines="-2147483648" w:after="0" w:afterLines="-2147483648" w:line="360" w:lineRule="auto"/>
        <w:jc w:val="left"/>
        <w:rPr>
          <w:rFonts w:hint="eastAsia" w:ascii="宋体" w:hAnsi="宋体" w:eastAsia="宋体"/>
          <w:sz w:val="24"/>
          <w:szCs w:val="22"/>
        </w:rPr>
      </w:pPr>
      <w:r>
        <w:rPr>
          <w:rFonts w:hint="eastAsia" w:ascii="宋体" w:hAnsi="宋体" w:eastAsia="宋体"/>
          <w:sz w:val="24"/>
          <w:szCs w:val="22"/>
        </w:rPr>
        <w:t xml:space="preserve">√ 适用 □ 不适用 </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48"/>
        <w:gridCol w:w="1080"/>
        <w:gridCol w:w="1125"/>
        <w:gridCol w:w="990"/>
        <w:gridCol w:w="1365"/>
        <w:gridCol w:w="1410"/>
        <w:gridCol w:w="1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4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接待时间</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接待地点</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接待方式</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接待对象类型</w:t>
            </w: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接待对象</w:t>
            </w: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谈论的主要内容及提供的资料</w:t>
            </w:r>
          </w:p>
        </w:tc>
        <w:tc>
          <w:tcPr>
            <w:tcW w:w="125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调研的基本情况索引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cs="宋体"/>
                <w:sz w:val="21"/>
                <w:szCs w:val="21"/>
                <w:lang w:val="en-US" w:eastAsia="zh-CN"/>
              </w:rPr>
              <w:t>2021年01月01日至</w:t>
            </w:r>
            <w:r>
              <w:rPr>
                <w:rFonts w:hint="eastAsia" w:ascii="宋体" w:hAnsi="宋体" w:eastAsia="宋体" w:cs="宋体"/>
                <w:sz w:val="21"/>
                <w:szCs w:val="21"/>
              </w:rPr>
              <w:t>2021年03月31日</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电话沟通</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w:t>
            </w: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公司投资者</w:t>
            </w: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公司经营状况及主营业务的发展</w:t>
            </w:r>
          </w:p>
        </w:tc>
        <w:tc>
          <w:tcPr>
            <w:tcW w:w="12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bl>
    <w:p/>
    <w:p>
      <w:pPr>
        <w:keepNext w:val="0"/>
        <w:keepLines w:val="0"/>
        <w:pageBreakBefore w:val="0"/>
        <w:widowControl w:val="0"/>
        <w:kinsoku/>
        <w:wordWrap/>
        <w:overflowPunct/>
        <w:topLinePunct w:val="0"/>
        <w:autoSpaceDE/>
        <w:autoSpaceDN/>
        <w:bidi w:val="0"/>
        <w:adjustRightInd/>
        <w:snapToGrid/>
        <w:spacing w:before="0" w:beforeLines="0" w:after="0" w:line="360" w:lineRule="auto"/>
        <w:jc w:val="right"/>
        <w:textAlignment w:val="auto"/>
        <w:rPr>
          <w:rFonts w:hint="eastAsia" w:asciiTheme="minorEastAsia" w:hAnsiTheme="minorEastAsia"/>
          <w:sz w:val="24"/>
        </w:rPr>
      </w:pPr>
    </w:p>
    <w:p>
      <w:pPr>
        <w:keepNext w:val="0"/>
        <w:keepLines w:val="0"/>
        <w:pageBreakBefore w:val="0"/>
        <w:widowControl w:val="0"/>
        <w:kinsoku/>
        <w:wordWrap/>
        <w:overflowPunct/>
        <w:topLinePunct w:val="0"/>
        <w:autoSpaceDE/>
        <w:autoSpaceDN/>
        <w:bidi w:val="0"/>
        <w:adjustRightInd/>
        <w:snapToGrid/>
        <w:spacing w:before="0" w:beforeLines="0" w:after="0" w:line="360" w:lineRule="auto"/>
        <w:jc w:val="right"/>
        <w:textAlignment w:val="auto"/>
        <w:rPr>
          <w:rFonts w:hint="eastAsia" w:asciiTheme="minorEastAsia" w:hAnsiTheme="minorEastAsia"/>
          <w:sz w:val="24"/>
        </w:rPr>
      </w:pPr>
    </w:p>
    <w:p>
      <w:pPr>
        <w:keepNext w:val="0"/>
        <w:keepLines w:val="0"/>
        <w:pageBreakBefore w:val="0"/>
        <w:widowControl w:val="0"/>
        <w:kinsoku/>
        <w:wordWrap/>
        <w:overflowPunct/>
        <w:topLinePunct w:val="0"/>
        <w:autoSpaceDE/>
        <w:autoSpaceDN/>
        <w:bidi w:val="0"/>
        <w:adjustRightInd/>
        <w:snapToGrid/>
        <w:spacing w:before="0" w:beforeLines="0" w:after="0" w:line="360" w:lineRule="auto"/>
        <w:jc w:val="right"/>
        <w:textAlignment w:val="auto"/>
        <w:rPr>
          <w:rFonts w:hint="eastAsia" w:asciiTheme="minorEastAsia" w:hAnsiTheme="minorEastAsia"/>
          <w:sz w:val="24"/>
        </w:rPr>
      </w:pPr>
    </w:p>
    <w:p>
      <w:pPr>
        <w:keepNext w:val="0"/>
        <w:keepLines w:val="0"/>
        <w:pageBreakBefore w:val="0"/>
        <w:widowControl w:val="0"/>
        <w:kinsoku/>
        <w:wordWrap/>
        <w:overflowPunct/>
        <w:topLinePunct w:val="0"/>
        <w:autoSpaceDE/>
        <w:autoSpaceDN/>
        <w:bidi w:val="0"/>
        <w:adjustRightInd/>
        <w:snapToGrid/>
        <w:spacing w:before="0" w:beforeLines="0" w:after="0" w:line="360" w:lineRule="auto"/>
        <w:jc w:val="right"/>
        <w:textAlignment w:val="auto"/>
        <w:rPr>
          <w:rFonts w:asciiTheme="minorEastAsia" w:hAnsiTheme="minorEastAsia"/>
          <w:sz w:val="24"/>
        </w:rPr>
      </w:pPr>
      <w:r>
        <w:rPr>
          <w:rFonts w:hint="eastAsia" w:asciiTheme="minorEastAsia" w:hAnsiTheme="minorEastAsia"/>
          <w:sz w:val="24"/>
        </w:rPr>
        <w:t>中山公用事业集团股份有限公司</w:t>
      </w:r>
    </w:p>
    <w:p>
      <w:pPr>
        <w:keepNext w:val="0"/>
        <w:keepLines w:val="0"/>
        <w:pageBreakBefore w:val="0"/>
        <w:widowControl w:val="0"/>
        <w:kinsoku/>
        <w:wordWrap/>
        <w:overflowPunct/>
        <w:topLinePunct w:val="0"/>
        <w:autoSpaceDE/>
        <w:autoSpaceDN/>
        <w:bidi w:val="0"/>
        <w:adjustRightInd/>
        <w:snapToGrid/>
        <w:spacing w:before="0" w:beforeLines="0" w:after="0" w:line="360" w:lineRule="auto"/>
        <w:textAlignment w:val="auto"/>
        <w:rPr>
          <w:rFonts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lang w:val="en-US" w:eastAsia="zh-CN"/>
        </w:rPr>
        <w:t xml:space="preserve">  </w:t>
      </w:r>
      <w:r>
        <w:rPr>
          <w:rFonts w:hint="eastAsia" w:asciiTheme="minorEastAsia" w:hAnsiTheme="minorEastAsia"/>
          <w:sz w:val="24"/>
        </w:rPr>
        <w:t xml:space="preserve">   董事会 </w:t>
      </w:r>
    </w:p>
    <w:p>
      <w:pPr>
        <w:keepNext w:val="0"/>
        <w:keepLines w:val="0"/>
        <w:pageBreakBefore w:val="0"/>
        <w:widowControl w:val="0"/>
        <w:kinsoku/>
        <w:wordWrap/>
        <w:overflowPunct/>
        <w:topLinePunct w:val="0"/>
        <w:autoSpaceDE/>
        <w:autoSpaceDN/>
        <w:bidi w:val="0"/>
        <w:adjustRightInd/>
        <w:snapToGrid/>
        <w:spacing w:before="0" w:beforeLines="0" w:after="0" w:line="360" w:lineRule="auto"/>
        <w:textAlignment w:val="auto"/>
        <w:rPr>
          <w:rFonts w:hint="eastAsia" w:ascii="宋体" w:hAnsi="宋体"/>
          <w:sz w:val="24"/>
          <w:szCs w:val="22"/>
        </w:rPr>
      </w:pPr>
      <w:r>
        <w:rPr>
          <w:rFonts w:hint="eastAsia" w:asciiTheme="minorEastAsia" w:hAnsiTheme="minorEastAsia"/>
          <w:sz w:val="24"/>
        </w:rPr>
        <w:t xml:space="preserve">                                                 </w:t>
      </w:r>
      <w:r>
        <w:rPr>
          <w:rFonts w:hint="eastAsia" w:asciiTheme="minorEastAsia" w:hAnsiTheme="minorEastAsia"/>
          <w:sz w:val="24"/>
          <w:lang w:val="en-US" w:eastAsia="zh-CN"/>
        </w:rPr>
        <w:t xml:space="preserve"> </w:t>
      </w:r>
      <w:r>
        <w:rPr>
          <w:rFonts w:hint="eastAsia" w:asciiTheme="minorEastAsia" w:hAnsiTheme="minorEastAsia"/>
          <w:sz w:val="24"/>
        </w:rPr>
        <w:t xml:space="preserve">  </w:t>
      </w:r>
      <w:r>
        <w:rPr>
          <w:rFonts w:hint="eastAsia" w:asciiTheme="minorEastAsia" w:hAnsiTheme="minorEastAsia"/>
          <w:sz w:val="24"/>
          <w:lang w:val="en-US" w:eastAsia="zh-CN"/>
        </w:rPr>
        <w:t xml:space="preserve"> </w:t>
      </w:r>
      <w:r>
        <w:rPr>
          <w:rFonts w:hint="eastAsia" w:asciiTheme="minorEastAsia" w:hAnsiTheme="minorEastAsia"/>
          <w:sz w:val="24"/>
        </w:rPr>
        <w:t xml:space="preserve">  二</w:t>
      </w:r>
      <w:r>
        <w:rPr>
          <w:rFonts w:hint="eastAsia" w:cs="宋体" w:asciiTheme="minorEastAsia" w:hAnsiTheme="minorEastAsia"/>
          <w:sz w:val="24"/>
        </w:rPr>
        <w:t>〇</w:t>
      </w:r>
      <w:r>
        <w:rPr>
          <w:rFonts w:hint="eastAsia" w:asciiTheme="minorEastAsia" w:hAnsiTheme="minorEastAsia"/>
          <w:sz w:val="24"/>
        </w:rPr>
        <w:t>二</w:t>
      </w:r>
      <w:r>
        <w:rPr>
          <w:rFonts w:hint="eastAsia" w:asciiTheme="minorEastAsia" w:hAnsiTheme="minorEastAsia"/>
          <w:sz w:val="24"/>
          <w:lang w:eastAsia="zh-CN"/>
        </w:rPr>
        <w:t>一</w:t>
      </w:r>
      <w:r>
        <w:rPr>
          <w:rFonts w:hint="eastAsia" w:cs="仿宋_GB2312" w:asciiTheme="minorEastAsia" w:hAnsiTheme="minorEastAsia"/>
          <w:sz w:val="24"/>
        </w:rPr>
        <w:t>年四月二十</w:t>
      </w:r>
      <w:r>
        <w:rPr>
          <w:rFonts w:hint="eastAsia" w:cs="仿宋_GB2312" w:asciiTheme="minorEastAsia" w:hAnsiTheme="minorEastAsia"/>
          <w:sz w:val="24"/>
          <w:lang w:eastAsia="zh-CN"/>
        </w:rPr>
        <w:t>九</w:t>
      </w:r>
      <w:r>
        <w:rPr>
          <w:rFonts w:hint="eastAsia" w:cs="仿宋_GB2312" w:asciiTheme="minorEastAsia" w:hAnsiTheme="minorEastAsia"/>
          <w:sz w:val="24"/>
        </w:rPr>
        <w:t>日</w:t>
      </w:r>
    </w:p>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sz w:val="18"/>
        <w:szCs w:val="24"/>
      </w:rPr>
    </w:pPr>
    <w:r>
      <w:rPr>
        <w:rFonts w:hint="default"/>
        <w:sz w:val="18"/>
        <w:szCs w:val="24"/>
      </w:rPr>
      <w:fldChar w:fldCharType="begin"/>
    </w:r>
    <w:r>
      <w:rPr>
        <w:rFonts w:hint="default"/>
        <w:sz w:val="18"/>
        <w:szCs w:val="24"/>
      </w:rPr>
      <w:instrText xml:space="preserve"> PAGE </w:instrText>
    </w:r>
    <w:r>
      <w:rPr>
        <w:rFonts w:hint="default"/>
        <w:sz w:val="18"/>
        <w:szCs w:val="24"/>
      </w:rPr>
      <w:fldChar w:fldCharType="separate"/>
    </w:r>
    <w:r>
      <w:rPr>
        <w:rFonts w:hint="default"/>
        <w:sz w:val="18"/>
        <w:szCs w:val="24"/>
      </w:rPr>
      <w:t>1</w:t>
    </w:r>
    <w:r>
      <w:rPr>
        <w:rFonts w:hint="default"/>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rFonts w:hint="eastAsia"/>
        <w:sz w:val="18"/>
        <w:szCs w:val="24"/>
      </w:rPr>
    </w:pPr>
    <w:r>
      <w:rPr>
        <w:rFonts w:hint="eastAsia"/>
        <w:sz w:val="18"/>
        <w:szCs w:val="24"/>
      </w:rPr>
      <w:t>中山公用事业集团股份有限公司2021年第一季度报告正文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0"/>
  <w:displayVerticalDrawingGridEvery w:val="2"/>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FE4D5F"/>
    <w:rsid w:val="091D0A5B"/>
    <w:rsid w:val="0E8D4EB5"/>
    <w:rsid w:val="0ED40586"/>
    <w:rsid w:val="0F0F2845"/>
    <w:rsid w:val="10113E5F"/>
    <w:rsid w:val="13951A6B"/>
    <w:rsid w:val="1B054338"/>
    <w:rsid w:val="1D3606FC"/>
    <w:rsid w:val="21D846EE"/>
    <w:rsid w:val="25FC5189"/>
    <w:rsid w:val="30D74841"/>
    <w:rsid w:val="33F14A95"/>
    <w:rsid w:val="39B47470"/>
    <w:rsid w:val="3B011B94"/>
    <w:rsid w:val="3F496D66"/>
    <w:rsid w:val="3F4C6361"/>
    <w:rsid w:val="4244349A"/>
    <w:rsid w:val="489645C4"/>
    <w:rsid w:val="4B320A2E"/>
    <w:rsid w:val="4DE96739"/>
    <w:rsid w:val="55ED3DA2"/>
    <w:rsid w:val="60F26197"/>
    <w:rsid w:val="65E80C06"/>
    <w:rsid w:val="698D3BE9"/>
    <w:rsid w:val="6CA21601"/>
    <w:rsid w:val="70F454BC"/>
    <w:rsid w:val="71AE22D9"/>
    <w:rsid w:val="75E766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99" w:semiHidden="0" w:name="Title"/>
    <w:lsdException w:uiPriority="99" w:name="Closing"/>
    <w:lsdException w:uiPriority="99" w:name="Signature"/>
    <w:lsdException w:qFormat="1"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widowControl w:val="0"/>
      <w:spacing w:before="40" w:beforeLines="0" w:after="40" w:afterLines="0"/>
      <w:jc w:val="both"/>
    </w:pPr>
    <w:rPr>
      <w:rFonts w:hint="eastAsia" w:ascii="Times New Roman" w:hAnsi="Times New Roman" w:eastAsia="宋体" w:cs="Times New Roman"/>
      <w:kern w:val="2"/>
      <w:sz w:val="18"/>
      <w:szCs w:val="24"/>
      <w:lang w:val="en-US" w:eastAsia="zh-CN"/>
    </w:rPr>
  </w:style>
  <w:style w:type="character" w:default="1" w:styleId="6">
    <w:name w:val="Default Paragraph Font"/>
    <w:unhideWhenUsed/>
    <w:qFormat/>
    <w:uiPriority w:val="99"/>
    <w:rPr>
      <w:rFonts w:hint="default"/>
      <w:sz w:val="24"/>
      <w:szCs w:val="24"/>
    </w:rPr>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before="0" w:beforeLines="0" w:after="0" w:afterLines="0"/>
      <w:jc w:val="right"/>
    </w:pPr>
    <w:rPr>
      <w:rFonts w:hint="eastAsia"/>
      <w:sz w:val="18"/>
      <w:szCs w:val="24"/>
    </w:rPr>
  </w:style>
  <w:style w:type="paragraph" w:styleId="3">
    <w:name w:val="header"/>
    <w:basedOn w:val="1"/>
    <w:unhideWhenUsed/>
    <w:qFormat/>
    <w:uiPriority w:val="99"/>
    <w:pPr>
      <w:pBdr>
        <w:bottom w:val="single" w:color="auto" w:sz="6" w:space="1"/>
      </w:pBdr>
      <w:tabs>
        <w:tab w:val="center" w:pos="4153"/>
        <w:tab w:val="right" w:pos="8306"/>
      </w:tabs>
      <w:snapToGrid w:val="0"/>
      <w:spacing w:before="0" w:beforeLines="0" w:after="0" w:afterLines="0"/>
      <w:jc w:val="right"/>
    </w:pPr>
    <w:rPr>
      <w:rFonts w:hint="eastAsia"/>
      <w:sz w:val="18"/>
      <w:szCs w:val="24"/>
    </w:rPr>
  </w:style>
  <w:style w:type="paragraph" w:styleId="4">
    <w:name w:val="Title"/>
    <w:basedOn w:val="1"/>
    <w:next w:val="1"/>
    <w:unhideWhenUsed/>
    <w:qFormat/>
    <w:uiPriority w:val="99"/>
    <w:pPr>
      <w:keepNext/>
      <w:keepLines/>
      <w:widowControl w:val="0"/>
      <w:spacing w:before="340" w:beforeLines="0" w:after="330" w:afterLines="0" w:line="578" w:lineRule="auto"/>
      <w:jc w:val="center"/>
    </w:pPr>
    <w:rPr>
      <w:rFonts w:hint="eastAsia" w:ascii="Times New Roman" w:hAnsi="Times New Roman" w:eastAsia="宋体" w:cs="Times New Roman"/>
      <w:b/>
      <w:kern w:val="32"/>
      <w:sz w:val="32"/>
      <w:szCs w:val="24"/>
      <w:lang w:val="en-US" w:eastAsia="zh-CN"/>
    </w:rPr>
  </w:style>
  <w:style w:type="paragraph" w:customStyle="1" w:styleId="7">
    <w:name w:val="Chapter"/>
    <w:next w:val="1"/>
    <w:unhideWhenUsed/>
    <w:qFormat/>
    <w:uiPriority w:val="99"/>
    <w:pPr>
      <w:keepNext/>
      <w:keepLines/>
      <w:widowControl w:val="0"/>
      <w:spacing w:before="300" w:beforeLines="0" w:after="300" w:afterLines="0" w:line="241" w:lineRule="auto"/>
      <w:jc w:val="both"/>
    </w:pPr>
    <w:rPr>
      <w:rFonts w:hint="eastAsia" w:ascii="Times New Roman" w:hAnsi="Times New Roman" w:eastAsia="宋体" w:cs="Times New Roman"/>
      <w:b/>
      <w:kern w:val="28"/>
      <w:sz w:val="24"/>
      <w:szCs w:val="24"/>
      <w:lang w:val="en-US" w:eastAsia="zh-CN"/>
    </w:rPr>
  </w:style>
  <w:style w:type="paragraph" w:customStyle="1" w:styleId="8">
    <w:name w:val="Section"/>
    <w:next w:val="1"/>
    <w:unhideWhenUsed/>
    <w:qFormat/>
    <w:uiPriority w:val="99"/>
    <w:pPr>
      <w:keepNext/>
      <w:keepLines/>
      <w:widowControl w:val="0"/>
      <w:spacing w:before="300" w:beforeLines="0" w:after="300" w:afterLines="0" w:line="241" w:lineRule="auto"/>
      <w:jc w:val="both"/>
    </w:pPr>
    <w:rPr>
      <w:rFonts w:hint="eastAsia" w:ascii="Times New Roman" w:hAnsi="Times New Roman" w:eastAsia="宋体" w:cs="Times New Roman"/>
      <w:b/>
      <w:kern w:val="28"/>
      <w:sz w:val="21"/>
      <w:szCs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Office_11.1.0.10356_F1E327BC-269C-435d-A152-05C5408002CA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2021-04-26T12:50:00Z</dcterms:created>
  <dc:creator>lenovo</dc:creator>
  <cp:lastModifiedBy>WPS_1591152101</cp:lastModifiedBy>
  <dcterms:modified xsi:type="dcterms:W3CDTF">2021-04-29T10:37:04Z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AFA0B830C65342E7BDF2B57983EBACF3</vt:lpwstr>
  </property>
</Properties>
</file>